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19D30B" w:rsidR="00C5345A" w:rsidRPr="00022E58" w:rsidRDefault="00B06878" w:rsidP="00022E58">
      <w:pPr>
        <w:shd w:val="clear" w:color="auto" w:fill="FFFFFF"/>
        <w:spacing w:before="120" w:after="120" w:line="240" w:lineRule="auto"/>
        <w:ind w:left="360"/>
        <w:rPr>
          <w:rFonts w:eastAsia="Montserrat"/>
          <w:color w:val="222222"/>
        </w:rPr>
      </w:pPr>
      <w:r>
        <w:rPr>
          <w:rFonts w:eastAsia="Montserrat"/>
          <w:color w:val="222222"/>
        </w:rPr>
        <w:t>If an entity that collects data from websites through an automated device, including but not limited to “scraping, “ “harvesting, “ and “crawling” (such entities, “</w:t>
      </w:r>
      <w:r w:rsidRPr="00022E58">
        <w:rPr>
          <w:rFonts w:eastAsia="Montserrat"/>
          <w:b/>
          <w:bCs/>
          <w:color w:val="222222"/>
        </w:rPr>
        <w:t>Data Collectors</w:t>
      </w:r>
      <w:r>
        <w:rPr>
          <w:rFonts w:eastAsia="Montserrat"/>
          <w:color w:val="222222"/>
        </w:rPr>
        <w:t xml:space="preserve">”), </w:t>
      </w:r>
      <w:r w:rsidR="002647F5">
        <w:rPr>
          <w:rFonts w:eastAsia="Montserrat"/>
          <w:color w:val="222222"/>
        </w:rPr>
        <w:t xml:space="preserve">and </w:t>
      </w:r>
      <w:r>
        <w:rPr>
          <w:rFonts w:eastAsia="Montserrat"/>
          <w:color w:val="222222"/>
        </w:rPr>
        <w:t>receives a</w:t>
      </w:r>
      <w:r w:rsidR="00A403AF" w:rsidRPr="00022E58">
        <w:rPr>
          <w:rFonts w:eastAsia="Montserrat"/>
          <w:color w:val="222222"/>
        </w:rPr>
        <w:t xml:space="preserve"> cease and desist </w:t>
      </w:r>
      <w:r>
        <w:rPr>
          <w:rFonts w:eastAsia="Montserrat"/>
          <w:color w:val="222222"/>
        </w:rPr>
        <w:t>from the owner of</w:t>
      </w:r>
      <w:r w:rsidR="00BC5ED6">
        <w:rPr>
          <w:rFonts w:eastAsia="Montserrat"/>
          <w:color w:val="222222"/>
        </w:rPr>
        <w:t xml:space="preserve"> such a</w:t>
      </w:r>
      <w:r>
        <w:rPr>
          <w:rFonts w:eastAsia="Montserrat"/>
          <w:color w:val="222222"/>
        </w:rPr>
        <w:t xml:space="preserve"> website, then the Data Collector has</w:t>
      </w:r>
      <w:r w:rsidR="00A403AF" w:rsidRPr="00022E58">
        <w:rPr>
          <w:rFonts w:eastAsia="Montserrat"/>
          <w:color w:val="222222"/>
        </w:rPr>
        <w:t xml:space="preserve"> been put on notice and should </w:t>
      </w:r>
      <w:r w:rsidR="002647F5">
        <w:rPr>
          <w:rFonts w:eastAsia="Montserrat"/>
          <w:color w:val="222222"/>
        </w:rPr>
        <w:t>address it</w:t>
      </w:r>
      <w:r w:rsidR="002647F5" w:rsidRPr="00022E58">
        <w:rPr>
          <w:rFonts w:eastAsia="Montserrat"/>
          <w:color w:val="222222"/>
        </w:rPr>
        <w:t xml:space="preserve"> </w:t>
      </w:r>
      <w:r w:rsidR="00A403AF" w:rsidRPr="00022E58">
        <w:rPr>
          <w:rFonts w:eastAsia="Montserrat"/>
          <w:color w:val="222222"/>
        </w:rPr>
        <w:t xml:space="preserve">in a timely manner. </w:t>
      </w:r>
    </w:p>
    <w:p w14:paraId="00000002" w14:textId="5AFD5211" w:rsidR="00C5345A" w:rsidRPr="00022E58" w:rsidRDefault="00B06878" w:rsidP="00022E58">
      <w:pPr>
        <w:shd w:val="clear" w:color="auto" w:fill="FFFFFF"/>
        <w:spacing w:before="120" w:after="120" w:line="240" w:lineRule="auto"/>
        <w:ind w:left="360"/>
        <w:rPr>
          <w:rFonts w:eastAsia="Montserrat"/>
          <w:color w:val="222222"/>
        </w:rPr>
      </w:pPr>
      <w:r>
        <w:rPr>
          <w:rFonts w:eastAsia="Montserrat"/>
          <w:color w:val="222222"/>
        </w:rPr>
        <w:t>The Data Collector has</w:t>
      </w:r>
      <w:r w:rsidR="00A403AF" w:rsidRPr="00022E58">
        <w:rPr>
          <w:rFonts w:eastAsia="Montserrat"/>
          <w:color w:val="222222"/>
        </w:rPr>
        <w:t xml:space="preserve"> </w:t>
      </w:r>
      <w:r w:rsidR="007D0530" w:rsidRPr="00022E58">
        <w:rPr>
          <w:rFonts w:eastAsia="Montserrat"/>
          <w:color w:val="222222"/>
        </w:rPr>
        <w:t>t</w:t>
      </w:r>
      <w:r w:rsidR="002647F5">
        <w:rPr>
          <w:rFonts w:eastAsia="Montserrat"/>
          <w:color w:val="222222"/>
        </w:rPr>
        <w:t>hree</w:t>
      </w:r>
      <w:r w:rsidR="00A403AF" w:rsidRPr="00022E58">
        <w:rPr>
          <w:rFonts w:eastAsia="Montserrat"/>
          <w:color w:val="222222"/>
        </w:rPr>
        <w:t xml:space="preserve"> options when </w:t>
      </w:r>
      <w:r>
        <w:rPr>
          <w:rFonts w:eastAsia="Montserrat"/>
          <w:color w:val="222222"/>
        </w:rPr>
        <w:t>responding to</w:t>
      </w:r>
      <w:r w:rsidR="00A403AF" w:rsidRPr="00022E58">
        <w:rPr>
          <w:rFonts w:eastAsia="Montserrat"/>
          <w:color w:val="222222"/>
        </w:rPr>
        <w:t xml:space="preserve"> a cease and desist:</w:t>
      </w:r>
    </w:p>
    <w:p w14:paraId="00000003" w14:textId="4342394E" w:rsidR="00C5345A" w:rsidRPr="00022E58" w:rsidRDefault="00A403AF" w:rsidP="00022E58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Option 1: Respond to inform the website that scraping</w:t>
      </w:r>
      <w:r w:rsidR="00B06878">
        <w:rPr>
          <w:rFonts w:eastAsia="Montserrat"/>
          <w:color w:val="222222"/>
        </w:rPr>
        <w:t xml:space="preserve"> will be halted</w:t>
      </w:r>
      <w:r w:rsidRPr="00022E58">
        <w:rPr>
          <w:rFonts w:eastAsia="Montserrat"/>
          <w:color w:val="222222"/>
        </w:rPr>
        <w:t xml:space="preserve">. </w:t>
      </w:r>
    </w:p>
    <w:p w14:paraId="4C49B5C8" w14:textId="446E0BCA" w:rsidR="00A403AF" w:rsidRDefault="00A403AF" w:rsidP="00B06878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 xml:space="preserve">Option 2: Respond by stating </w:t>
      </w:r>
      <w:r w:rsidR="00B06878">
        <w:rPr>
          <w:rFonts w:eastAsia="Montserrat"/>
          <w:color w:val="222222"/>
        </w:rPr>
        <w:t>the</w:t>
      </w:r>
      <w:r w:rsidR="00B06878" w:rsidRPr="00022E58">
        <w:rPr>
          <w:rFonts w:eastAsia="Montserrat"/>
          <w:color w:val="222222"/>
        </w:rPr>
        <w:t xml:space="preserve"> </w:t>
      </w:r>
      <w:r w:rsidRPr="00022E58">
        <w:rPr>
          <w:rFonts w:eastAsia="Montserrat"/>
          <w:color w:val="222222"/>
        </w:rPr>
        <w:t xml:space="preserve">rationale for why </w:t>
      </w:r>
      <w:r w:rsidR="00B06878">
        <w:rPr>
          <w:rFonts w:eastAsia="Montserrat"/>
          <w:color w:val="222222"/>
        </w:rPr>
        <w:t>the data collection</w:t>
      </w:r>
      <w:r w:rsidR="00B06878" w:rsidRPr="00022E58">
        <w:rPr>
          <w:rFonts w:eastAsia="Montserrat"/>
          <w:color w:val="222222"/>
        </w:rPr>
        <w:t xml:space="preserve"> </w:t>
      </w:r>
      <w:r w:rsidRPr="00022E58">
        <w:rPr>
          <w:rFonts w:eastAsia="Montserrat"/>
          <w:color w:val="222222"/>
        </w:rPr>
        <w:t xml:space="preserve">activity is legal, and why </w:t>
      </w:r>
      <w:r w:rsidR="00B06878">
        <w:rPr>
          <w:rFonts w:eastAsia="Montserrat"/>
          <w:color w:val="222222"/>
        </w:rPr>
        <w:t>there is no</w:t>
      </w:r>
      <w:r w:rsidRPr="00022E58">
        <w:rPr>
          <w:rFonts w:eastAsia="Montserrat"/>
          <w:color w:val="222222"/>
        </w:rPr>
        <w:t xml:space="preserve"> need to comply with the cease and desist. Ideally this response should be drafted by a lawyer. </w:t>
      </w:r>
      <w:r w:rsidR="00B06878">
        <w:rPr>
          <w:rFonts w:eastAsia="Montserrat"/>
          <w:color w:val="222222"/>
        </w:rPr>
        <w:t>Data Collectors may also</w:t>
      </w:r>
      <w:r w:rsidRPr="00022E58">
        <w:rPr>
          <w:rFonts w:eastAsia="Montserrat"/>
          <w:color w:val="222222"/>
        </w:rPr>
        <w:t xml:space="preserve"> consider filing a declaratory action for a court declaration indicating </w:t>
      </w:r>
      <w:r w:rsidR="00B06878">
        <w:rPr>
          <w:rFonts w:eastAsia="Montserrat"/>
          <w:color w:val="222222"/>
        </w:rPr>
        <w:t>the web data collection</w:t>
      </w:r>
      <w:r w:rsidRPr="00022E58">
        <w:rPr>
          <w:rFonts w:eastAsia="Montserrat"/>
          <w:color w:val="222222"/>
        </w:rPr>
        <w:t xml:space="preserve"> activity may continue</w:t>
      </w:r>
      <w:r w:rsidR="007D0530" w:rsidRPr="00022E58">
        <w:rPr>
          <w:rFonts w:eastAsia="Montserrat"/>
          <w:color w:val="222222"/>
        </w:rPr>
        <w:t>.</w:t>
      </w:r>
    </w:p>
    <w:p w14:paraId="656FD2C4" w14:textId="4CC71C46" w:rsidR="00D86610" w:rsidRPr="00022E58" w:rsidRDefault="00D86610" w:rsidP="00022E58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>
        <w:rPr>
          <w:rFonts w:eastAsia="Montserrat"/>
          <w:color w:val="222222"/>
        </w:rPr>
        <w:t xml:space="preserve">Option 3:  Consider </w:t>
      </w:r>
      <w:r w:rsidR="002647F5">
        <w:rPr>
          <w:rFonts w:eastAsia="Montserrat"/>
          <w:color w:val="222222"/>
        </w:rPr>
        <w:t>negotiating</w:t>
      </w:r>
      <w:r>
        <w:rPr>
          <w:rFonts w:eastAsia="Montserrat"/>
          <w:color w:val="222222"/>
        </w:rPr>
        <w:t xml:space="preserve"> a commercial remedy</w:t>
      </w:r>
      <w:r w:rsidR="002647F5">
        <w:rPr>
          <w:rFonts w:eastAsia="Montserrat"/>
          <w:color w:val="222222"/>
        </w:rPr>
        <w:t xml:space="preserve"> with the owner of the website.</w:t>
      </w:r>
    </w:p>
    <w:p w14:paraId="44834D13" w14:textId="28268788" w:rsidR="00AD489A" w:rsidRPr="00022E58" w:rsidRDefault="00AD489A" w:rsidP="00022E58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 xml:space="preserve">Regardless of the option, </w:t>
      </w:r>
      <w:r w:rsidR="00B06878">
        <w:rPr>
          <w:rFonts w:eastAsia="Montserrat"/>
          <w:color w:val="222222"/>
        </w:rPr>
        <w:t>the Alternative Data Council recommends</w:t>
      </w:r>
      <w:r w:rsidRPr="00022E58">
        <w:rPr>
          <w:rFonts w:eastAsia="Montserrat"/>
          <w:color w:val="222222"/>
        </w:rPr>
        <w:t xml:space="preserve"> that </w:t>
      </w:r>
      <w:r w:rsidR="00B06878">
        <w:rPr>
          <w:rFonts w:eastAsia="Montserrat"/>
          <w:color w:val="222222"/>
        </w:rPr>
        <w:t xml:space="preserve">Data Collectors </w:t>
      </w:r>
      <w:r w:rsidRPr="00022E58">
        <w:rPr>
          <w:rFonts w:eastAsia="Montserrat"/>
          <w:color w:val="222222"/>
        </w:rPr>
        <w:t xml:space="preserve">consult with a lawyer prior to </w:t>
      </w:r>
      <w:r w:rsidR="00673FBE" w:rsidRPr="00022E58">
        <w:rPr>
          <w:rFonts w:eastAsia="Montserrat"/>
          <w:color w:val="222222"/>
        </w:rPr>
        <w:t>address</w:t>
      </w:r>
      <w:r w:rsidRPr="00022E58">
        <w:rPr>
          <w:rFonts w:eastAsia="Montserrat"/>
          <w:color w:val="222222"/>
        </w:rPr>
        <w:t>ing the cease and desist.</w:t>
      </w:r>
      <w:r w:rsidR="001A0F08" w:rsidRPr="00022E58">
        <w:rPr>
          <w:rFonts w:eastAsia="Montserrat"/>
          <w:color w:val="222222"/>
        </w:rPr>
        <w:t xml:space="preserve"> If </w:t>
      </w:r>
      <w:r w:rsidR="00B06878">
        <w:rPr>
          <w:rFonts w:eastAsia="Montserrat"/>
          <w:color w:val="222222"/>
        </w:rPr>
        <w:t>counsel</w:t>
      </w:r>
      <w:r w:rsidR="001A0F08" w:rsidRPr="00022E58">
        <w:rPr>
          <w:rFonts w:eastAsia="Montserrat"/>
          <w:color w:val="222222"/>
        </w:rPr>
        <w:t xml:space="preserve"> advises </w:t>
      </w:r>
      <w:r w:rsidR="00B06878">
        <w:rPr>
          <w:rFonts w:eastAsia="Montserrat"/>
          <w:color w:val="222222"/>
        </w:rPr>
        <w:t>to refrain from</w:t>
      </w:r>
      <w:r w:rsidR="001A0F08" w:rsidRPr="00022E58">
        <w:rPr>
          <w:rFonts w:eastAsia="Montserrat"/>
          <w:color w:val="222222"/>
        </w:rPr>
        <w:t xml:space="preserve"> respond</w:t>
      </w:r>
      <w:r w:rsidR="00B06878">
        <w:rPr>
          <w:rFonts w:eastAsia="Montserrat"/>
          <w:color w:val="222222"/>
        </w:rPr>
        <w:t>ing</w:t>
      </w:r>
      <w:r w:rsidR="001A0F08" w:rsidRPr="00022E58">
        <w:rPr>
          <w:rFonts w:eastAsia="Montserrat"/>
          <w:color w:val="222222"/>
        </w:rPr>
        <w:t xml:space="preserve"> to the cease and desist, this may be a </w:t>
      </w:r>
      <w:r w:rsidR="002647F5">
        <w:rPr>
          <w:rFonts w:eastAsia="Montserrat"/>
          <w:color w:val="222222"/>
        </w:rPr>
        <w:t>fourth</w:t>
      </w:r>
      <w:r w:rsidR="001A0F08" w:rsidRPr="00022E58">
        <w:rPr>
          <w:rFonts w:eastAsia="Montserrat"/>
          <w:color w:val="222222"/>
        </w:rPr>
        <w:t xml:space="preserve"> option to </w:t>
      </w:r>
      <w:r w:rsidR="00B06878">
        <w:rPr>
          <w:rFonts w:eastAsia="Montserrat"/>
          <w:color w:val="222222"/>
        </w:rPr>
        <w:t>consider</w:t>
      </w:r>
      <w:r w:rsidR="001A0F08" w:rsidRPr="00022E58">
        <w:rPr>
          <w:rFonts w:eastAsia="Montserrat"/>
          <w:color w:val="222222"/>
        </w:rPr>
        <w:t xml:space="preserve">. </w:t>
      </w:r>
      <w:r w:rsidRPr="00022E58">
        <w:rPr>
          <w:rFonts w:eastAsia="Montserrat"/>
          <w:color w:val="222222"/>
        </w:rPr>
        <w:t xml:space="preserve"> </w:t>
      </w:r>
    </w:p>
    <w:p w14:paraId="00000005" w14:textId="5D531705" w:rsidR="00C5345A" w:rsidRPr="00022E58" w:rsidRDefault="00A403AF" w:rsidP="00022E58">
      <w:pPr>
        <w:shd w:val="clear" w:color="auto" w:fill="FFFFFF"/>
        <w:spacing w:before="120" w:after="120" w:line="240" w:lineRule="auto"/>
        <w:ind w:left="360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Option 1 Process</w:t>
      </w:r>
      <w:r w:rsidR="0095392C">
        <w:rPr>
          <w:rFonts w:eastAsia="Montserrat"/>
          <w:color w:val="222222"/>
        </w:rPr>
        <w:t xml:space="preserve"> – Halting Scraping</w:t>
      </w:r>
    </w:p>
    <w:p w14:paraId="00000007" w14:textId="490D1B41" w:rsidR="00C5345A" w:rsidRPr="00022E58" w:rsidRDefault="00A403AF" w:rsidP="00022E58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 xml:space="preserve">The details within </w:t>
      </w:r>
      <w:r w:rsidR="00B06878">
        <w:rPr>
          <w:rFonts w:eastAsia="Montserrat"/>
          <w:color w:val="222222"/>
        </w:rPr>
        <w:t xml:space="preserve">the </w:t>
      </w:r>
      <w:r w:rsidRPr="00022E58">
        <w:rPr>
          <w:rFonts w:eastAsia="Montserrat"/>
          <w:color w:val="222222"/>
        </w:rPr>
        <w:t xml:space="preserve">response letter may vary, but the letter </w:t>
      </w:r>
      <w:r w:rsidR="00022E58">
        <w:rPr>
          <w:rFonts w:eastAsia="Montserrat"/>
          <w:color w:val="222222"/>
        </w:rPr>
        <w:t xml:space="preserve">should make clear the Data Collector’s </w:t>
      </w:r>
      <w:r w:rsidR="00B06878">
        <w:rPr>
          <w:rFonts w:eastAsia="Montserrat"/>
          <w:color w:val="222222"/>
        </w:rPr>
        <w:t>intent to</w:t>
      </w:r>
      <w:r w:rsidRPr="00022E58">
        <w:rPr>
          <w:rFonts w:eastAsia="Montserrat"/>
          <w:color w:val="222222"/>
        </w:rPr>
        <w:t xml:space="preserve"> comply with the cease and desist and the timing for compliance. </w:t>
      </w:r>
    </w:p>
    <w:p w14:paraId="00000008" w14:textId="243D427E" w:rsidR="00C5345A" w:rsidRPr="00022E58" w:rsidRDefault="007D0530" w:rsidP="00022E58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If</w:t>
      </w:r>
      <w:r w:rsidR="00022E58">
        <w:rPr>
          <w:rFonts w:eastAsia="Montserrat"/>
          <w:color w:val="222222"/>
        </w:rPr>
        <w:t xml:space="preserve"> the</w:t>
      </w:r>
      <w:r w:rsidRPr="00022E58">
        <w:rPr>
          <w:rFonts w:eastAsia="Montserrat"/>
          <w:color w:val="222222"/>
        </w:rPr>
        <w:t xml:space="preserve"> </w:t>
      </w:r>
      <w:r w:rsidR="00B06878">
        <w:rPr>
          <w:rFonts w:eastAsia="Montserrat"/>
          <w:color w:val="222222"/>
        </w:rPr>
        <w:t>Data Collector</w:t>
      </w:r>
      <w:r w:rsidR="00B06878" w:rsidRPr="00022E58">
        <w:rPr>
          <w:rFonts w:eastAsia="Montserrat"/>
          <w:color w:val="222222"/>
        </w:rPr>
        <w:t xml:space="preserve"> </w:t>
      </w:r>
      <w:r w:rsidRPr="00022E58">
        <w:rPr>
          <w:rFonts w:eastAsia="Montserrat"/>
          <w:color w:val="222222"/>
        </w:rPr>
        <w:t>believe</w:t>
      </w:r>
      <w:r w:rsidR="0079614D">
        <w:rPr>
          <w:rFonts w:eastAsia="Montserrat"/>
          <w:color w:val="222222"/>
        </w:rPr>
        <w:t>s</w:t>
      </w:r>
      <w:r w:rsidRPr="00022E58">
        <w:rPr>
          <w:rFonts w:eastAsia="Montserrat"/>
          <w:color w:val="222222"/>
        </w:rPr>
        <w:t xml:space="preserve"> that </w:t>
      </w:r>
      <w:r w:rsidR="00B06878">
        <w:rPr>
          <w:rFonts w:eastAsia="Montserrat"/>
          <w:color w:val="222222"/>
        </w:rPr>
        <w:t>the</w:t>
      </w:r>
      <w:r w:rsidR="00B06878" w:rsidRPr="00022E58">
        <w:rPr>
          <w:rFonts w:eastAsia="Montserrat"/>
          <w:color w:val="222222"/>
        </w:rPr>
        <w:t xml:space="preserve"> </w:t>
      </w:r>
      <w:r w:rsidRPr="00022E58">
        <w:rPr>
          <w:rFonts w:eastAsia="Montserrat"/>
          <w:color w:val="222222"/>
        </w:rPr>
        <w:t xml:space="preserve">web scraping is lawful but </w:t>
      </w:r>
      <w:r w:rsidR="0079614D">
        <w:rPr>
          <w:rFonts w:eastAsia="Montserrat"/>
          <w:color w:val="222222"/>
        </w:rPr>
        <w:t>is</w:t>
      </w:r>
      <w:r w:rsidR="0079614D" w:rsidRPr="00022E58">
        <w:rPr>
          <w:rFonts w:eastAsia="Montserrat"/>
          <w:color w:val="222222"/>
        </w:rPr>
        <w:t xml:space="preserve"> </w:t>
      </w:r>
      <w:r w:rsidRPr="00022E58">
        <w:rPr>
          <w:rFonts w:eastAsia="Montserrat"/>
          <w:color w:val="222222"/>
        </w:rPr>
        <w:t xml:space="preserve">choosing to comply with the cease and desist anyway, and </w:t>
      </w:r>
      <w:r w:rsidR="00A403AF" w:rsidRPr="00022E58">
        <w:rPr>
          <w:rFonts w:eastAsia="Montserrat"/>
          <w:color w:val="222222"/>
        </w:rPr>
        <w:t xml:space="preserve">legal arguments </w:t>
      </w:r>
      <w:r w:rsidR="00B06878">
        <w:rPr>
          <w:rFonts w:eastAsia="Montserrat"/>
          <w:color w:val="222222"/>
        </w:rPr>
        <w:t xml:space="preserve">are provided </w:t>
      </w:r>
      <w:r w:rsidRPr="00022E58">
        <w:rPr>
          <w:rFonts w:eastAsia="Montserrat"/>
          <w:color w:val="222222"/>
        </w:rPr>
        <w:t xml:space="preserve">to that effect </w:t>
      </w:r>
      <w:r w:rsidR="00A403AF" w:rsidRPr="00022E58">
        <w:rPr>
          <w:rFonts w:eastAsia="Montserrat"/>
          <w:color w:val="222222"/>
        </w:rPr>
        <w:t xml:space="preserve">in </w:t>
      </w:r>
      <w:r w:rsidR="00B06878">
        <w:rPr>
          <w:rFonts w:eastAsia="Montserrat"/>
          <w:color w:val="222222"/>
        </w:rPr>
        <w:t>the</w:t>
      </w:r>
      <w:r w:rsidR="00B06878" w:rsidRPr="00022E58">
        <w:rPr>
          <w:rFonts w:eastAsia="Montserrat"/>
          <w:color w:val="222222"/>
        </w:rPr>
        <w:t xml:space="preserve"> </w:t>
      </w:r>
      <w:r w:rsidR="00A403AF" w:rsidRPr="00022E58">
        <w:rPr>
          <w:rFonts w:eastAsia="Montserrat"/>
          <w:color w:val="222222"/>
        </w:rPr>
        <w:t xml:space="preserve">response, ensure that these have been reviewed by a lawyer </w:t>
      </w:r>
      <w:r w:rsidR="00022E58">
        <w:rPr>
          <w:rFonts w:eastAsia="Montserrat"/>
          <w:color w:val="222222"/>
        </w:rPr>
        <w:t>because</w:t>
      </w:r>
      <w:r w:rsidR="00A403AF" w:rsidRPr="00022E58">
        <w:rPr>
          <w:rFonts w:eastAsia="Montserrat"/>
          <w:color w:val="222222"/>
        </w:rPr>
        <w:t xml:space="preserve"> </w:t>
      </w:r>
      <w:r w:rsidR="00B06878">
        <w:rPr>
          <w:rFonts w:eastAsia="Montserrat"/>
          <w:color w:val="222222"/>
        </w:rPr>
        <w:t>the</w:t>
      </w:r>
      <w:r w:rsidR="00B06878" w:rsidRPr="00022E58">
        <w:rPr>
          <w:rFonts w:eastAsia="Montserrat"/>
          <w:color w:val="222222"/>
        </w:rPr>
        <w:t xml:space="preserve"> </w:t>
      </w:r>
      <w:r w:rsidR="00A403AF" w:rsidRPr="00022E58">
        <w:rPr>
          <w:rFonts w:eastAsia="Montserrat"/>
          <w:color w:val="222222"/>
        </w:rPr>
        <w:t xml:space="preserve">response letter could be used in future litigation. </w:t>
      </w:r>
    </w:p>
    <w:p w14:paraId="00000009" w14:textId="350968FD" w:rsidR="00C5345A" w:rsidRPr="00022E58" w:rsidRDefault="00A403AF" w:rsidP="00022E58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Following responding to the letter, scraping</w:t>
      </w:r>
      <w:r w:rsidR="00B06878">
        <w:rPr>
          <w:rFonts w:eastAsia="Montserrat"/>
          <w:color w:val="222222"/>
        </w:rPr>
        <w:t xml:space="preserve"> should be halted</w:t>
      </w:r>
      <w:r w:rsidRPr="00022E58">
        <w:rPr>
          <w:rFonts w:eastAsia="Montserrat"/>
          <w:color w:val="222222"/>
        </w:rPr>
        <w:t xml:space="preserve">. If </w:t>
      </w:r>
      <w:r w:rsidR="00B06878">
        <w:rPr>
          <w:rFonts w:eastAsia="Montserrat"/>
          <w:color w:val="222222"/>
        </w:rPr>
        <w:t>the Data Collector has</w:t>
      </w:r>
      <w:r w:rsidRPr="00022E58">
        <w:rPr>
          <w:rFonts w:eastAsia="Montserrat"/>
          <w:color w:val="222222"/>
        </w:rPr>
        <w:t xml:space="preserve"> contractual obligations </w:t>
      </w:r>
      <w:proofErr w:type="gramStart"/>
      <w:r w:rsidRPr="00022E58">
        <w:rPr>
          <w:rFonts w:eastAsia="Montserrat"/>
          <w:color w:val="222222"/>
        </w:rPr>
        <w:t>with regard to</w:t>
      </w:r>
      <w:proofErr w:type="gramEnd"/>
      <w:r w:rsidRPr="00022E58">
        <w:rPr>
          <w:rFonts w:eastAsia="Montserrat"/>
          <w:color w:val="222222"/>
        </w:rPr>
        <w:t xml:space="preserve"> customer notification,</w:t>
      </w:r>
      <w:r w:rsidR="00BC5ED6">
        <w:rPr>
          <w:rFonts w:eastAsia="Montserrat"/>
          <w:color w:val="222222"/>
        </w:rPr>
        <w:t xml:space="preserve"> </w:t>
      </w:r>
      <w:r w:rsidR="00BC5ED6" w:rsidRPr="00BC5ED6">
        <w:t>follow</w:t>
      </w:r>
      <w:r w:rsidR="00BC5ED6" w:rsidRPr="00EB2069">
        <w:t>ing</w:t>
      </w:r>
      <w:r w:rsidR="00BC5ED6" w:rsidRPr="00BC5ED6">
        <w:t xml:space="preserve"> up to ensure compliance with those notification requirements </w:t>
      </w:r>
      <w:r w:rsidR="00BC5ED6" w:rsidRPr="00EB2069">
        <w:t xml:space="preserve">would be </w:t>
      </w:r>
      <w:r w:rsidR="00BC5ED6" w:rsidRPr="00BC5ED6">
        <w:t>prudent</w:t>
      </w:r>
      <w:r w:rsidRPr="00022E58">
        <w:rPr>
          <w:rFonts w:eastAsia="Montserrat"/>
          <w:color w:val="222222"/>
        </w:rPr>
        <w:t xml:space="preserve">. </w:t>
      </w:r>
    </w:p>
    <w:p w14:paraId="0000000A" w14:textId="5562F6B7" w:rsidR="00C5345A" w:rsidRPr="00022E58" w:rsidRDefault="00A403AF" w:rsidP="00022E58">
      <w:pPr>
        <w:shd w:val="clear" w:color="auto" w:fill="FFFFFF"/>
        <w:spacing w:before="120" w:after="120" w:line="240" w:lineRule="auto"/>
        <w:ind w:left="360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Option 2 Process</w:t>
      </w:r>
      <w:r w:rsidR="0095392C">
        <w:rPr>
          <w:rFonts w:eastAsia="Montserrat"/>
          <w:color w:val="222222"/>
        </w:rPr>
        <w:t xml:space="preserve"> – Stating Your Position</w:t>
      </w:r>
    </w:p>
    <w:p w14:paraId="0000000D" w14:textId="0109125D" w:rsidR="00C5345A" w:rsidRPr="00022E58" w:rsidRDefault="00A403AF" w:rsidP="00022E58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 xml:space="preserve">If </w:t>
      </w:r>
      <w:r w:rsidR="00B06878">
        <w:rPr>
          <w:rFonts w:eastAsia="Montserrat"/>
          <w:color w:val="222222"/>
        </w:rPr>
        <w:t>the Data Collector</w:t>
      </w:r>
      <w:r w:rsidR="00B06878" w:rsidRPr="00022E58">
        <w:rPr>
          <w:rFonts w:eastAsia="Montserrat"/>
          <w:color w:val="222222"/>
        </w:rPr>
        <w:t xml:space="preserve"> </w:t>
      </w:r>
      <w:r w:rsidRPr="00022E58">
        <w:rPr>
          <w:rFonts w:eastAsia="Montserrat"/>
          <w:color w:val="222222"/>
        </w:rPr>
        <w:t>decide</w:t>
      </w:r>
      <w:r w:rsidR="00B06878">
        <w:rPr>
          <w:rFonts w:eastAsia="Montserrat"/>
          <w:color w:val="222222"/>
        </w:rPr>
        <w:t>s</w:t>
      </w:r>
      <w:r w:rsidRPr="00022E58">
        <w:rPr>
          <w:rFonts w:eastAsia="Montserrat"/>
          <w:color w:val="222222"/>
        </w:rPr>
        <w:t xml:space="preserve"> that the cease and desist is not valid and </w:t>
      </w:r>
      <w:r w:rsidR="00B06878">
        <w:rPr>
          <w:rFonts w:eastAsia="Montserrat"/>
          <w:color w:val="222222"/>
        </w:rPr>
        <w:t>response is warranted</w:t>
      </w:r>
      <w:r w:rsidRPr="00022E58">
        <w:rPr>
          <w:rFonts w:eastAsia="Montserrat"/>
          <w:color w:val="222222"/>
        </w:rPr>
        <w:t xml:space="preserve">, </w:t>
      </w:r>
      <w:r w:rsidR="00B06878">
        <w:rPr>
          <w:rFonts w:eastAsia="Montserrat"/>
          <w:color w:val="222222"/>
        </w:rPr>
        <w:t>it is recommen</w:t>
      </w:r>
      <w:r w:rsidR="005667F4">
        <w:rPr>
          <w:rFonts w:eastAsia="Montserrat"/>
          <w:color w:val="222222"/>
        </w:rPr>
        <w:t>d</w:t>
      </w:r>
      <w:r w:rsidR="00B06878">
        <w:rPr>
          <w:rFonts w:eastAsia="Montserrat"/>
          <w:color w:val="222222"/>
        </w:rPr>
        <w:t>ed to consult with a lawyer</w:t>
      </w:r>
      <w:r w:rsidRPr="00022E58">
        <w:rPr>
          <w:rFonts w:eastAsia="Montserrat"/>
          <w:color w:val="222222"/>
        </w:rPr>
        <w:t xml:space="preserve"> to respond. </w:t>
      </w:r>
      <w:r w:rsidR="00B06878">
        <w:rPr>
          <w:rFonts w:eastAsia="Montserrat"/>
          <w:color w:val="222222"/>
        </w:rPr>
        <w:t>Counsel</w:t>
      </w:r>
      <w:r w:rsidRPr="00022E58">
        <w:rPr>
          <w:rFonts w:eastAsia="Montserrat"/>
          <w:color w:val="222222"/>
        </w:rPr>
        <w:t xml:space="preserve"> can advise of the best process in this case.  </w:t>
      </w:r>
      <w:r w:rsidR="00B06878">
        <w:rPr>
          <w:rFonts w:eastAsia="Montserrat"/>
          <w:color w:val="222222"/>
        </w:rPr>
        <w:t>It is important to consider that this response option may give rise to litigation.</w:t>
      </w:r>
      <w:r w:rsidRPr="00022E58">
        <w:rPr>
          <w:rFonts w:eastAsia="Montserrat"/>
          <w:color w:val="222222"/>
        </w:rPr>
        <w:t xml:space="preserve"> </w:t>
      </w:r>
    </w:p>
    <w:p w14:paraId="4082394C" w14:textId="7F8DDB5A" w:rsidR="00A403AF" w:rsidRPr="002303FA" w:rsidRDefault="002427E1" w:rsidP="002303FA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>
        <w:rPr>
          <w:rFonts w:eastAsia="Montserrat"/>
          <w:color w:val="222222"/>
        </w:rPr>
        <w:t>Data Collectors may also want to</w:t>
      </w:r>
      <w:r w:rsidR="00A403AF" w:rsidRPr="00022E58">
        <w:rPr>
          <w:rFonts w:eastAsia="Montserrat"/>
          <w:color w:val="222222"/>
        </w:rPr>
        <w:t xml:space="preserve"> consult with a lawyer to file a declaratory action in cour</w:t>
      </w:r>
      <w:r w:rsidR="005667F4">
        <w:rPr>
          <w:rFonts w:eastAsia="Montserrat"/>
          <w:color w:val="222222"/>
        </w:rPr>
        <w:t>t</w:t>
      </w:r>
      <w:r>
        <w:rPr>
          <w:rFonts w:eastAsia="Montserrat"/>
          <w:color w:val="222222"/>
        </w:rPr>
        <w:t xml:space="preserve">; this is where the court is asked to </w:t>
      </w:r>
      <w:r w:rsidR="00A403AF" w:rsidRPr="00022E58">
        <w:rPr>
          <w:rFonts w:eastAsia="Montserrat"/>
          <w:color w:val="222222"/>
        </w:rPr>
        <w:t>explicitly declar</w:t>
      </w:r>
      <w:r w:rsidR="007D0530" w:rsidRPr="00022E58">
        <w:rPr>
          <w:rFonts w:eastAsia="Montserrat"/>
          <w:color w:val="222222"/>
        </w:rPr>
        <w:t>e</w:t>
      </w:r>
      <w:r w:rsidR="00A403AF" w:rsidRPr="00022E58">
        <w:rPr>
          <w:rFonts w:eastAsia="Montserrat"/>
          <w:color w:val="222222"/>
        </w:rPr>
        <w:t xml:space="preserve"> </w:t>
      </w:r>
      <w:r>
        <w:rPr>
          <w:rFonts w:eastAsia="Montserrat"/>
          <w:color w:val="222222"/>
        </w:rPr>
        <w:t xml:space="preserve">the web data </w:t>
      </w:r>
      <w:r>
        <w:rPr>
          <w:rFonts w:eastAsia="Montserrat"/>
          <w:color w:val="222222"/>
        </w:rPr>
        <w:lastRenderedPageBreak/>
        <w:t xml:space="preserve">collection </w:t>
      </w:r>
      <w:r w:rsidR="00A403AF" w:rsidRPr="00022E58">
        <w:rPr>
          <w:rFonts w:eastAsia="Montserrat"/>
          <w:color w:val="222222"/>
        </w:rPr>
        <w:t xml:space="preserve">activity as legal. </w:t>
      </w:r>
      <w:r w:rsidR="007D0530" w:rsidRPr="00022E58">
        <w:rPr>
          <w:rFonts w:eastAsia="Montserrat"/>
          <w:color w:val="222222"/>
        </w:rPr>
        <w:t xml:space="preserve">If </w:t>
      </w:r>
      <w:r>
        <w:rPr>
          <w:rFonts w:eastAsia="Montserrat"/>
          <w:color w:val="222222"/>
        </w:rPr>
        <w:t>this route is chose</w:t>
      </w:r>
      <w:r w:rsidR="00D86610">
        <w:rPr>
          <w:rFonts w:eastAsia="Montserrat"/>
          <w:color w:val="222222"/>
        </w:rPr>
        <w:t>n</w:t>
      </w:r>
      <w:r>
        <w:rPr>
          <w:rFonts w:eastAsia="Montserrat"/>
          <w:color w:val="222222"/>
        </w:rPr>
        <w:t>, it is important to be mindful that this is</w:t>
      </w:r>
      <w:r w:rsidR="007D0530" w:rsidRPr="00022E58">
        <w:rPr>
          <w:rFonts w:eastAsia="Montserrat"/>
          <w:color w:val="222222"/>
        </w:rPr>
        <w:t xml:space="preserve"> </w:t>
      </w:r>
      <w:r w:rsidR="00A403AF" w:rsidRPr="00022E58">
        <w:rPr>
          <w:rFonts w:eastAsia="Montserrat"/>
          <w:color w:val="222222"/>
        </w:rPr>
        <w:t xml:space="preserve">taking the offensive position and directly </w:t>
      </w:r>
      <w:r>
        <w:rPr>
          <w:rFonts w:eastAsia="Montserrat"/>
          <w:color w:val="222222"/>
        </w:rPr>
        <w:t>becoming involved in</w:t>
      </w:r>
      <w:r w:rsidR="00A403AF" w:rsidRPr="00022E58">
        <w:rPr>
          <w:rFonts w:eastAsia="Montserrat"/>
          <w:color w:val="222222"/>
        </w:rPr>
        <w:t xml:space="preserve"> litigation.</w:t>
      </w:r>
      <w:r w:rsidR="00A403AF" w:rsidRPr="002303FA">
        <w:rPr>
          <w:rFonts w:eastAsia="Montserrat"/>
          <w:color w:val="222222"/>
        </w:rPr>
        <w:t xml:space="preserve"> </w:t>
      </w:r>
    </w:p>
    <w:p w14:paraId="4F459F49" w14:textId="77777777" w:rsidR="002303FA" w:rsidRDefault="002303FA" w:rsidP="00BC5ED6">
      <w:pPr>
        <w:keepNext/>
        <w:shd w:val="clear" w:color="auto" w:fill="FFFFFF"/>
        <w:spacing w:before="120" w:after="120" w:line="240" w:lineRule="auto"/>
        <w:ind w:left="360"/>
        <w:rPr>
          <w:rFonts w:eastAsia="Montserrat"/>
          <w:color w:val="222222"/>
        </w:rPr>
      </w:pPr>
    </w:p>
    <w:p w14:paraId="77A6DBE3" w14:textId="6C107AD8" w:rsidR="00D86610" w:rsidRPr="00022E58" w:rsidRDefault="00D86610" w:rsidP="00BC5ED6">
      <w:pPr>
        <w:keepNext/>
        <w:shd w:val="clear" w:color="auto" w:fill="FFFFFF"/>
        <w:spacing w:before="120" w:after="120" w:line="240" w:lineRule="auto"/>
        <w:ind w:left="360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 xml:space="preserve">Option 3 Process – </w:t>
      </w:r>
      <w:r>
        <w:rPr>
          <w:rFonts w:eastAsia="Montserrat"/>
          <w:color w:val="222222"/>
        </w:rPr>
        <w:t>Commercial Remedy</w:t>
      </w:r>
    </w:p>
    <w:p w14:paraId="72CCC4FC" w14:textId="7763F01A" w:rsidR="00AD489A" w:rsidRPr="00022E58" w:rsidRDefault="00D86610" w:rsidP="00022E58">
      <w:pPr>
        <w:numPr>
          <w:ilvl w:val="1"/>
          <w:numId w:val="4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>
        <w:rPr>
          <w:rFonts w:eastAsia="Montserrat"/>
          <w:color w:val="222222"/>
        </w:rPr>
        <w:t xml:space="preserve">The Data Collector may also consider </w:t>
      </w:r>
      <w:proofErr w:type="gramStart"/>
      <w:r w:rsidR="005667F4">
        <w:rPr>
          <w:rFonts w:eastAsia="Montserrat"/>
          <w:color w:val="222222"/>
        </w:rPr>
        <w:t>entering</w:t>
      </w:r>
      <w:r>
        <w:rPr>
          <w:rFonts w:eastAsia="Montserrat"/>
          <w:color w:val="222222"/>
        </w:rPr>
        <w:t xml:space="preserve"> into</w:t>
      </w:r>
      <w:proofErr w:type="gramEnd"/>
      <w:r>
        <w:rPr>
          <w:rFonts w:eastAsia="Montserrat"/>
          <w:color w:val="222222"/>
        </w:rPr>
        <w:t xml:space="preserve"> commercial negotiations such as resolving the cease and desist by setting up</w:t>
      </w:r>
      <w:r w:rsidR="002647F5">
        <w:rPr>
          <w:rFonts w:eastAsia="Montserrat"/>
          <w:color w:val="222222"/>
        </w:rPr>
        <w:t xml:space="preserve"> a</w:t>
      </w:r>
      <w:r>
        <w:rPr>
          <w:rFonts w:eastAsia="Montserrat"/>
          <w:color w:val="222222"/>
        </w:rPr>
        <w:t xml:space="preserve"> </w:t>
      </w:r>
      <w:r w:rsidR="00AD489A" w:rsidRPr="00022E58">
        <w:rPr>
          <w:rFonts w:eastAsia="Montserrat"/>
          <w:color w:val="222222"/>
        </w:rPr>
        <w:t xml:space="preserve">licensing agreement. </w:t>
      </w:r>
    </w:p>
    <w:p w14:paraId="0000000E" w14:textId="450D769F" w:rsidR="00C5345A" w:rsidRPr="00022E58" w:rsidRDefault="00A403AF" w:rsidP="00022E58">
      <w:pPr>
        <w:shd w:val="clear" w:color="auto" w:fill="FFFFFF"/>
        <w:spacing w:before="120" w:after="120" w:line="240" w:lineRule="auto"/>
        <w:ind w:left="360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Some reasons</w:t>
      </w:r>
      <w:r w:rsidR="00BC5ED6">
        <w:rPr>
          <w:rFonts w:eastAsia="Montserrat"/>
          <w:color w:val="222222"/>
        </w:rPr>
        <w:t xml:space="preserve"> Data Collectors</w:t>
      </w:r>
      <w:r w:rsidRPr="00022E58">
        <w:rPr>
          <w:rFonts w:eastAsia="Montserrat"/>
          <w:color w:val="222222"/>
        </w:rPr>
        <w:t xml:space="preserve"> may receive a cease and desist are as follows:</w:t>
      </w:r>
    </w:p>
    <w:p w14:paraId="7EDC6CC1" w14:textId="77777777" w:rsidR="00AD489A" w:rsidRPr="00022E58" w:rsidRDefault="00AD489A" w:rsidP="00022E58">
      <w:pPr>
        <w:numPr>
          <w:ilvl w:val="1"/>
          <w:numId w:val="5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 xml:space="preserve">Excessive volume on the website </w:t>
      </w:r>
    </w:p>
    <w:p w14:paraId="34B86F38" w14:textId="77777777" w:rsidR="00AD489A" w:rsidRPr="00022E58" w:rsidRDefault="00AD489A" w:rsidP="00022E58">
      <w:pPr>
        <w:numPr>
          <w:ilvl w:val="1"/>
          <w:numId w:val="5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Copyright Violations</w:t>
      </w:r>
    </w:p>
    <w:p w14:paraId="0000000F" w14:textId="6FE6A888" w:rsidR="00C5345A" w:rsidRPr="00022E58" w:rsidRDefault="00A403AF" w:rsidP="00022E58">
      <w:pPr>
        <w:numPr>
          <w:ilvl w:val="1"/>
          <w:numId w:val="5"/>
        </w:numPr>
        <w:shd w:val="clear" w:color="auto" w:fill="FFFFFF"/>
        <w:spacing w:before="120" w:after="120" w:line="24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Breach of Contract</w:t>
      </w:r>
    </w:p>
    <w:p w14:paraId="00000010" w14:textId="77777777" w:rsidR="00C5345A" w:rsidRPr="00022E58" w:rsidRDefault="00A403AF" w:rsidP="00022E58">
      <w:pPr>
        <w:numPr>
          <w:ilvl w:val="1"/>
          <w:numId w:val="5"/>
        </w:numPr>
        <w:shd w:val="clear" w:color="auto" w:fill="FFFFFF"/>
        <w:spacing w:line="36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Computer Fraud and Abuse Act</w:t>
      </w:r>
    </w:p>
    <w:p w14:paraId="00000013" w14:textId="71960270" w:rsidR="00C5345A" w:rsidRPr="00022E58" w:rsidRDefault="00A403AF" w:rsidP="00EB2069">
      <w:pPr>
        <w:numPr>
          <w:ilvl w:val="1"/>
          <w:numId w:val="5"/>
        </w:numPr>
        <w:spacing w:line="36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Personal</w:t>
      </w:r>
      <w:r w:rsidR="00BC5ED6">
        <w:rPr>
          <w:rFonts w:eastAsia="Montserrat"/>
          <w:color w:val="222222"/>
        </w:rPr>
        <w:t xml:space="preserve"> Data is being collected </w:t>
      </w:r>
    </w:p>
    <w:p w14:paraId="6D0D864D" w14:textId="74C2AB36" w:rsidR="00506A3B" w:rsidRPr="00022E58" w:rsidRDefault="00A403AF" w:rsidP="00022E58">
      <w:pPr>
        <w:shd w:val="clear" w:color="auto" w:fill="FFFFFF"/>
        <w:spacing w:line="360" w:lineRule="auto"/>
        <w:ind w:left="360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 xml:space="preserve">The following are useful to minimize potential legal liability </w:t>
      </w:r>
      <w:proofErr w:type="gramStart"/>
      <w:r w:rsidRPr="00022E58">
        <w:rPr>
          <w:rFonts w:eastAsia="Montserrat"/>
          <w:color w:val="222222"/>
        </w:rPr>
        <w:t>as a result of</w:t>
      </w:r>
      <w:proofErr w:type="gramEnd"/>
      <w:r w:rsidRPr="00022E58">
        <w:rPr>
          <w:rFonts w:eastAsia="Montserrat"/>
          <w:color w:val="222222"/>
        </w:rPr>
        <w:t xml:space="preserve"> a cease and desist</w:t>
      </w:r>
      <w:r w:rsidR="005667F4">
        <w:rPr>
          <w:rFonts w:eastAsia="Montserrat"/>
          <w:color w:val="222222"/>
        </w:rPr>
        <w:t>:</w:t>
      </w:r>
      <w:r w:rsidR="00506A3B">
        <w:rPr>
          <w:rFonts w:eastAsia="Montserrat"/>
          <w:color w:val="222222"/>
        </w:rPr>
        <w:tab/>
        <w:t xml:space="preserve"> </w:t>
      </w:r>
    </w:p>
    <w:p w14:paraId="00000015" w14:textId="673C8789" w:rsidR="00C5345A" w:rsidRPr="00022E58" w:rsidRDefault="00A403AF" w:rsidP="00022E58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ind w:left="1440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Audit logs to ensure that you have a record of your scraping,</w:t>
      </w:r>
    </w:p>
    <w:p w14:paraId="00000016" w14:textId="77777777" w:rsidR="00C5345A" w:rsidRPr="00022E58" w:rsidRDefault="00A403AF" w:rsidP="00022E58">
      <w:pPr>
        <w:numPr>
          <w:ilvl w:val="1"/>
          <w:numId w:val="6"/>
        </w:numPr>
        <w:shd w:val="clear" w:color="auto" w:fill="FFFFFF"/>
        <w:spacing w:line="36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Technical controls enforcing best practices,</w:t>
      </w:r>
    </w:p>
    <w:p w14:paraId="00000018" w14:textId="386D8733" w:rsidR="00C5345A" w:rsidRPr="00EB2069" w:rsidRDefault="00EB2069" w:rsidP="00EB2069">
      <w:pPr>
        <w:numPr>
          <w:ilvl w:val="1"/>
          <w:numId w:val="6"/>
        </w:numPr>
        <w:shd w:val="clear" w:color="auto" w:fill="FFFFFF"/>
        <w:spacing w:line="360" w:lineRule="auto"/>
        <w:rPr>
          <w:rFonts w:eastAsia="Montserrat"/>
          <w:color w:val="222222"/>
        </w:rPr>
      </w:pPr>
      <w:r>
        <w:rPr>
          <w:rFonts w:eastAsia="Montserrat"/>
          <w:color w:val="222222"/>
        </w:rPr>
        <w:t>Policies and procedures</w:t>
      </w:r>
      <w:r w:rsidR="00A403AF" w:rsidRPr="00022E58">
        <w:rPr>
          <w:rFonts w:eastAsia="Montserrat"/>
          <w:color w:val="222222"/>
        </w:rPr>
        <w:t xml:space="preserve"> to enforce legal best practices, including terms of service, copyright,</w:t>
      </w:r>
      <w:r w:rsidR="00AD489A" w:rsidRPr="00022E58">
        <w:rPr>
          <w:rFonts w:eastAsia="Montserrat"/>
          <w:color w:val="222222"/>
        </w:rPr>
        <w:t xml:space="preserve"> trade secret,</w:t>
      </w:r>
      <w:r w:rsidR="00A403AF" w:rsidRPr="00022E58">
        <w:rPr>
          <w:rFonts w:eastAsia="Montserrat"/>
          <w:color w:val="222222"/>
        </w:rPr>
        <w:t xml:space="preserve"> and data protection considerations</w:t>
      </w:r>
      <w:r w:rsidR="005667F4">
        <w:rPr>
          <w:rFonts w:eastAsia="Montserrat"/>
          <w:color w:val="222222"/>
        </w:rPr>
        <w:t xml:space="preserve"> (</w:t>
      </w:r>
      <w:r w:rsidR="00506A3B">
        <w:rPr>
          <w:rFonts w:eastAsia="Montserrat"/>
          <w:color w:val="222222"/>
        </w:rPr>
        <w:t>See Terms of Service Considerations and Competition Considerations</w:t>
      </w:r>
      <w:r w:rsidR="005667F4">
        <w:rPr>
          <w:rFonts w:eastAsia="Montserrat"/>
          <w:color w:val="222222"/>
        </w:rPr>
        <w:t>)</w:t>
      </w:r>
    </w:p>
    <w:p w14:paraId="00000019" w14:textId="60E94118" w:rsidR="00C5345A" w:rsidRPr="00022E58" w:rsidRDefault="00FB4E27" w:rsidP="00022E58">
      <w:pPr>
        <w:numPr>
          <w:ilvl w:val="1"/>
          <w:numId w:val="6"/>
        </w:numPr>
        <w:shd w:val="clear" w:color="auto" w:fill="FFFFFF"/>
        <w:spacing w:line="360" w:lineRule="auto"/>
        <w:rPr>
          <w:rFonts w:eastAsia="Montserrat"/>
          <w:color w:val="222222"/>
        </w:rPr>
      </w:pPr>
      <w:r>
        <w:rPr>
          <w:rFonts w:eastAsia="Montserrat"/>
          <w:color w:val="222222"/>
        </w:rPr>
        <w:t>Minimize request volumes to levels that don’t impa</w:t>
      </w:r>
      <w:r w:rsidR="00EB2069">
        <w:rPr>
          <w:rFonts w:eastAsia="Montserrat"/>
          <w:color w:val="222222"/>
        </w:rPr>
        <w:t>ir</w:t>
      </w:r>
      <w:r>
        <w:rPr>
          <w:rFonts w:eastAsia="Montserrat"/>
          <w:color w:val="222222"/>
        </w:rPr>
        <w:t xml:space="preserve"> </w:t>
      </w:r>
      <w:r w:rsidR="0079614D">
        <w:rPr>
          <w:rFonts w:eastAsia="Montserrat"/>
          <w:color w:val="222222"/>
        </w:rPr>
        <w:t>site reliability (s</w:t>
      </w:r>
      <w:r w:rsidR="005667F4">
        <w:rPr>
          <w:rFonts w:eastAsia="Montserrat"/>
          <w:color w:val="222222"/>
        </w:rPr>
        <w:t xml:space="preserve">ee </w:t>
      </w:r>
      <w:r w:rsidR="00A403AF" w:rsidRPr="00022E58">
        <w:rPr>
          <w:rFonts w:eastAsia="Montserrat"/>
          <w:color w:val="222222"/>
        </w:rPr>
        <w:t xml:space="preserve">Volume </w:t>
      </w:r>
      <w:r w:rsidR="00506A3B">
        <w:rPr>
          <w:rFonts w:eastAsia="Montserrat"/>
          <w:color w:val="222222"/>
        </w:rPr>
        <w:t>C</w:t>
      </w:r>
      <w:r w:rsidR="00506A3B" w:rsidRPr="00022E58">
        <w:rPr>
          <w:rFonts w:eastAsia="Montserrat"/>
          <w:color w:val="222222"/>
        </w:rPr>
        <w:t>onsiderations</w:t>
      </w:r>
      <w:r w:rsidR="0079614D">
        <w:rPr>
          <w:rFonts w:eastAsia="Montserrat"/>
          <w:color w:val="222222"/>
        </w:rPr>
        <w:t>)</w:t>
      </w:r>
      <w:r w:rsidR="00A403AF" w:rsidRPr="00022E58">
        <w:rPr>
          <w:rFonts w:eastAsia="Montserrat"/>
          <w:color w:val="222222"/>
        </w:rPr>
        <w:t>,</w:t>
      </w:r>
    </w:p>
    <w:p w14:paraId="0000001A" w14:textId="72D5A4A2" w:rsidR="00C5345A" w:rsidRPr="00022E58" w:rsidRDefault="00FB4E27" w:rsidP="00022E58">
      <w:pPr>
        <w:numPr>
          <w:ilvl w:val="1"/>
          <w:numId w:val="6"/>
        </w:numPr>
        <w:shd w:val="clear" w:color="auto" w:fill="FFFFFF"/>
        <w:spacing w:line="360" w:lineRule="auto"/>
        <w:rPr>
          <w:rFonts w:eastAsia="Montserrat"/>
          <w:color w:val="222222"/>
        </w:rPr>
      </w:pPr>
      <w:r>
        <w:rPr>
          <w:rFonts w:eastAsia="Montserrat"/>
          <w:color w:val="222222"/>
        </w:rPr>
        <w:t>Take steps to ensure c</w:t>
      </w:r>
      <w:r w:rsidR="00A403AF" w:rsidRPr="00022E58">
        <w:rPr>
          <w:rFonts w:eastAsia="Montserrat"/>
          <w:color w:val="222222"/>
        </w:rPr>
        <w:t>opyright compliance</w:t>
      </w:r>
      <w:r w:rsidR="005667F4">
        <w:rPr>
          <w:rFonts w:eastAsia="Montserrat"/>
          <w:color w:val="222222"/>
        </w:rPr>
        <w:t xml:space="preserve"> (See</w:t>
      </w:r>
      <w:r w:rsidR="00506A3B">
        <w:rPr>
          <w:rFonts w:eastAsia="Montserrat"/>
          <w:color w:val="222222"/>
        </w:rPr>
        <w:t xml:space="preserve"> Copyright Considerations</w:t>
      </w:r>
      <w:r w:rsidR="005667F4">
        <w:rPr>
          <w:rFonts w:eastAsia="Montserrat"/>
          <w:color w:val="222222"/>
        </w:rPr>
        <w:t>),</w:t>
      </w:r>
    </w:p>
    <w:p w14:paraId="0000001B" w14:textId="5D7ADC07" w:rsidR="00C5345A" w:rsidRPr="00022E58" w:rsidRDefault="00A403AF" w:rsidP="00022E58">
      <w:pPr>
        <w:numPr>
          <w:ilvl w:val="1"/>
          <w:numId w:val="6"/>
        </w:numPr>
        <w:shd w:val="clear" w:color="auto" w:fill="FFFFFF"/>
        <w:spacing w:line="36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Do not use fake identities</w:t>
      </w:r>
      <w:r w:rsidR="005667F4">
        <w:rPr>
          <w:rFonts w:eastAsia="Montserrat"/>
          <w:color w:val="222222"/>
        </w:rPr>
        <w:t xml:space="preserve"> </w:t>
      </w:r>
      <w:r w:rsidR="0079614D">
        <w:rPr>
          <w:rFonts w:eastAsia="Montserrat"/>
          <w:color w:val="222222"/>
        </w:rPr>
        <w:t>and have an e</w:t>
      </w:r>
      <w:r w:rsidR="0079614D" w:rsidRPr="00022E58">
        <w:rPr>
          <w:rFonts w:eastAsia="Montserrat"/>
          <w:color w:val="222222"/>
        </w:rPr>
        <w:t>asy way for website owners to log abuse reports</w:t>
      </w:r>
      <w:r w:rsidR="0079614D">
        <w:rPr>
          <w:rFonts w:eastAsia="Montserrat"/>
          <w:color w:val="222222"/>
        </w:rPr>
        <w:t xml:space="preserve"> </w:t>
      </w:r>
      <w:r w:rsidR="005667F4">
        <w:rPr>
          <w:rFonts w:eastAsia="Montserrat"/>
          <w:color w:val="222222"/>
        </w:rPr>
        <w:t xml:space="preserve">(See </w:t>
      </w:r>
      <w:r w:rsidR="00506A3B">
        <w:rPr>
          <w:rFonts w:eastAsia="Montserrat"/>
          <w:color w:val="222222"/>
        </w:rPr>
        <w:t>Proxy Considerations</w:t>
      </w:r>
      <w:r w:rsidR="005667F4">
        <w:rPr>
          <w:rFonts w:eastAsia="Montserrat"/>
          <w:color w:val="222222"/>
        </w:rPr>
        <w:t>)</w:t>
      </w:r>
      <w:r w:rsidRPr="00022E58">
        <w:rPr>
          <w:rFonts w:eastAsia="Montserrat"/>
          <w:color w:val="222222"/>
        </w:rPr>
        <w:t>, and</w:t>
      </w:r>
    </w:p>
    <w:p w14:paraId="0000001C" w14:textId="74BD0BC9" w:rsidR="00C5345A" w:rsidRPr="00022E58" w:rsidRDefault="00A403AF" w:rsidP="00022E58">
      <w:pPr>
        <w:numPr>
          <w:ilvl w:val="1"/>
          <w:numId w:val="6"/>
        </w:numPr>
        <w:shd w:val="clear" w:color="auto" w:fill="FFFFFF"/>
        <w:spacing w:after="200" w:line="360" w:lineRule="auto"/>
        <w:rPr>
          <w:rFonts w:eastAsia="Montserrat"/>
          <w:color w:val="222222"/>
        </w:rPr>
      </w:pPr>
      <w:r w:rsidRPr="00022E58">
        <w:rPr>
          <w:rFonts w:eastAsia="Montserrat"/>
          <w:color w:val="222222"/>
        </w:rPr>
        <w:t>Ensure personal data compliance</w:t>
      </w:r>
      <w:r w:rsidR="005667F4">
        <w:rPr>
          <w:rFonts w:eastAsia="Montserrat"/>
          <w:color w:val="222222"/>
        </w:rPr>
        <w:t xml:space="preserve"> (See </w:t>
      </w:r>
      <w:r w:rsidR="00506A3B">
        <w:rPr>
          <w:rFonts w:eastAsia="Montserrat"/>
          <w:color w:val="222222"/>
        </w:rPr>
        <w:t>Privacy Considerations</w:t>
      </w:r>
      <w:r w:rsidR="005667F4">
        <w:rPr>
          <w:rFonts w:eastAsia="Montserrat"/>
          <w:color w:val="222222"/>
        </w:rPr>
        <w:t>)</w:t>
      </w:r>
      <w:r w:rsidRPr="00022E58">
        <w:rPr>
          <w:rFonts w:eastAsia="Montserrat"/>
          <w:color w:val="222222"/>
        </w:rPr>
        <w:t xml:space="preserve">. </w:t>
      </w:r>
    </w:p>
    <w:p w14:paraId="0000001D" w14:textId="77777777" w:rsidR="00C5345A" w:rsidRDefault="00C5345A">
      <w:pPr>
        <w:spacing w:line="360" w:lineRule="auto"/>
        <w:rPr>
          <w:rFonts w:ascii="Montserrat" w:eastAsia="Montserrat" w:hAnsi="Montserrat" w:cs="Montserrat"/>
          <w:sz w:val="20"/>
          <w:szCs w:val="20"/>
        </w:rPr>
      </w:pPr>
    </w:p>
    <w:sectPr w:rsidR="00C534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65D0F" w14:textId="77777777" w:rsidR="00652C05" w:rsidRDefault="00652C05" w:rsidP="00B06878">
      <w:pPr>
        <w:spacing w:line="240" w:lineRule="auto"/>
      </w:pPr>
      <w:r>
        <w:separator/>
      </w:r>
    </w:p>
  </w:endnote>
  <w:endnote w:type="continuationSeparator" w:id="0">
    <w:p w14:paraId="51199D1B" w14:textId="77777777" w:rsidR="00652C05" w:rsidRDefault="00652C05" w:rsidP="00B06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5152" w14:textId="77777777" w:rsidR="002303FA" w:rsidRDefault="002303FA">
    <w:pPr>
      <w:pStyle w:val="Footer"/>
      <w:rPr>
        <w:sz w:val="18"/>
        <w:szCs w:val="18"/>
      </w:rPr>
    </w:pPr>
  </w:p>
  <w:p w14:paraId="20212831" w14:textId="4802FA81" w:rsidR="002303FA" w:rsidRPr="002303FA" w:rsidRDefault="00652C05">
    <w:pPr>
      <w:pStyle w:val="Footer"/>
      <w:rPr>
        <w:sz w:val="18"/>
        <w:szCs w:val="18"/>
      </w:rPr>
    </w:pPr>
    <w:hyperlink r:id="rId1" w:history="1">
      <w:r w:rsidR="002303FA" w:rsidRPr="000E136A">
        <w:rPr>
          <w:rStyle w:val="Hyperlink"/>
          <w:sz w:val="18"/>
          <w:szCs w:val="18"/>
        </w:rPr>
        <w:t>https://history.siia.net/Divisions/FISD-Financial-Information-Services-Association/Programs/Alternative-Data-Council</w:t>
      </w:r>
    </w:hyperlink>
  </w:p>
  <w:p w14:paraId="44FE9BBB" w14:textId="3E6E2E20" w:rsidR="002303FA" w:rsidRPr="002303FA" w:rsidRDefault="002303FA" w:rsidP="002303FA">
    <w:pPr>
      <w:rPr>
        <w:rFonts w:cs="Tahoma"/>
      </w:rPr>
    </w:pPr>
    <w:r w:rsidRPr="002303FA">
      <w:rPr>
        <w:rFonts w:cs="Tahoma"/>
        <w:sz w:val="18"/>
        <w:szCs w:val="18"/>
      </w:rPr>
      <w:t>Version 1.0 May 2021</w:t>
    </w:r>
    <w:r>
      <w:rPr>
        <w:rFonts w:cs="Tahoma"/>
        <w:sz w:val="18"/>
        <w:szCs w:val="18"/>
      </w:rPr>
      <w:br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ab/>
    </w:r>
  </w:p>
  <w:p w14:paraId="6747AEF0" w14:textId="77777777" w:rsidR="002303FA" w:rsidRDefault="00230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DA73B" w14:textId="77777777" w:rsidR="00652C05" w:rsidRDefault="00652C05" w:rsidP="00B06878">
      <w:pPr>
        <w:spacing w:line="240" w:lineRule="auto"/>
      </w:pPr>
      <w:r>
        <w:separator/>
      </w:r>
    </w:p>
  </w:footnote>
  <w:footnote w:type="continuationSeparator" w:id="0">
    <w:p w14:paraId="31771DD3" w14:textId="77777777" w:rsidR="00652C05" w:rsidRDefault="00652C05" w:rsidP="00B068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C657" w14:textId="6E130E17" w:rsidR="00B06878" w:rsidRPr="006F7EA4" w:rsidRDefault="00B06878" w:rsidP="002303FA">
    <w:pPr>
      <w:pStyle w:val="Heading1"/>
      <w:jc w:val="center"/>
      <w:rPr>
        <w:rFonts w:ascii="Segoe UI" w:hAnsi="Segoe UI" w:cs="Segoe UI"/>
      </w:rPr>
    </w:pPr>
    <w:r w:rsidRPr="006F7EA4">
      <w:rPr>
        <w:rFonts w:ascii="Segoe UI" w:hAnsi="Segoe UI" w:cs="Segoe UI"/>
        <w:noProof/>
      </w:rPr>
      <w:drawing>
        <wp:inline distT="0" distB="0" distL="0" distR="0" wp14:anchorId="0C609B6B" wp14:editId="71370679">
          <wp:extent cx="2202180" cy="381000"/>
          <wp:effectExtent l="0" t="0" r="7620" b="0"/>
          <wp:docPr id="2" name="Picture 2">
            <a:hlinkClick xmlns:a="http://schemas.openxmlformats.org/drawingml/2006/main" r:id="rId1" tgtFrame="&quot;_blank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 tgtFrame="&quot;_blank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9DD2CB" w14:textId="77777777" w:rsidR="00B06878" w:rsidRPr="00022E58" w:rsidRDefault="00B06878" w:rsidP="00022E58">
    <w:pPr>
      <w:pStyle w:val="Heading1"/>
      <w:spacing w:before="0" w:after="0" w:line="240" w:lineRule="auto"/>
      <w:jc w:val="center"/>
      <w:rPr>
        <w:b/>
        <w:bCs/>
        <w:sz w:val="36"/>
        <w:szCs w:val="36"/>
      </w:rPr>
    </w:pPr>
    <w:r w:rsidRPr="00022E58">
      <w:rPr>
        <w:b/>
        <w:bCs/>
        <w:sz w:val="36"/>
        <w:szCs w:val="36"/>
      </w:rPr>
      <w:t>Web Data Collection Considerations:</w:t>
    </w:r>
  </w:p>
  <w:p w14:paraId="2389519B" w14:textId="1FB3C8B8" w:rsidR="00B06878" w:rsidRPr="00022E58" w:rsidRDefault="00B06878" w:rsidP="00022E58">
    <w:pPr>
      <w:pStyle w:val="Header"/>
      <w:jc w:val="center"/>
      <w:rPr>
        <w:b/>
        <w:bCs/>
        <w:sz w:val="36"/>
        <w:szCs w:val="36"/>
      </w:rPr>
    </w:pPr>
    <w:r w:rsidRPr="00022E58">
      <w:rPr>
        <w:b/>
        <w:bCs/>
        <w:sz w:val="36"/>
        <w:szCs w:val="36"/>
      </w:rPr>
      <w:t>Cease and Desist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0DF"/>
    <w:multiLevelType w:val="multilevel"/>
    <w:tmpl w:val="A6C8D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5B4E12"/>
    <w:multiLevelType w:val="multilevel"/>
    <w:tmpl w:val="3C841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4F31F3"/>
    <w:multiLevelType w:val="multilevel"/>
    <w:tmpl w:val="CD502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9E3A35"/>
    <w:multiLevelType w:val="multilevel"/>
    <w:tmpl w:val="8E46B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411A34"/>
    <w:multiLevelType w:val="multilevel"/>
    <w:tmpl w:val="C7689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8E5E6E"/>
    <w:multiLevelType w:val="multilevel"/>
    <w:tmpl w:val="E8DE1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5A"/>
    <w:rsid w:val="00022E58"/>
    <w:rsid w:val="0007150A"/>
    <w:rsid w:val="0007334E"/>
    <w:rsid w:val="00102517"/>
    <w:rsid w:val="00126508"/>
    <w:rsid w:val="001740E6"/>
    <w:rsid w:val="001A0F08"/>
    <w:rsid w:val="00200933"/>
    <w:rsid w:val="002303FA"/>
    <w:rsid w:val="002427E1"/>
    <w:rsid w:val="002647F5"/>
    <w:rsid w:val="002E43B1"/>
    <w:rsid w:val="003707E5"/>
    <w:rsid w:val="00392826"/>
    <w:rsid w:val="003D4E08"/>
    <w:rsid w:val="004D47B7"/>
    <w:rsid w:val="004E45ED"/>
    <w:rsid w:val="00506A3B"/>
    <w:rsid w:val="005667F4"/>
    <w:rsid w:val="005A6599"/>
    <w:rsid w:val="00652C05"/>
    <w:rsid w:val="00673FBE"/>
    <w:rsid w:val="0079614D"/>
    <w:rsid w:val="007D0530"/>
    <w:rsid w:val="008564AB"/>
    <w:rsid w:val="00946E3D"/>
    <w:rsid w:val="0095392C"/>
    <w:rsid w:val="009825F1"/>
    <w:rsid w:val="009A1F28"/>
    <w:rsid w:val="009C5B74"/>
    <w:rsid w:val="00A403AF"/>
    <w:rsid w:val="00A936CC"/>
    <w:rsid w:val="00AC35A6"/>
    <w:rsid w:val="00AD489A"/>
    <w:rsid w:val="00AE395A"/>
    <w:rsid w:val="00B06878"/>
    <w:rsid w:val="00B16EEF"/>
    <w:rsid w:val="00BC5ED6"/>
    <w:rsid w:val="00C5345A"/>
    <w:rsid w:val="00CC50EC"/>
    <w:rsid w:val="00D86610"/>
    <w:rsid w:val="00EB2069"/>
    <w:rsid w:val="00FB4E2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E8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3A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3A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0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3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3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3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3A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68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878"/>
  </w:style>
  <w:style w:type="paragraph" w:styleId="Footer">
    <w:name w:val="footer"/>
    <w:basedOn w:val="Normal"/>
    <w:link w:val="FooterChar"/>
    <w:uiPriority w:val="99"/>
    <w:unhideWhenUsed/>
    <w:rsid w:val="00B068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878"/>
  </w:style>
  <w:style w:type="paragraph" w:styleId="ListParagraph">
    <w:name w:val="List Paragraph"/>
    <w:basedOn w:val="Normal"/>
    <w:uiPriority w:val="34"/>
    <w:qFormat/>
    <w:rsid w:val="00D86610"/>
    <w:pPr>
      <w:ind w:left="720"/>
      <w:contextualSpacing/>
    </w:pPr>
  </w:style>
  <w:style w:type="paragraph" w:styleId="Revision">
    <w:name w:val="Revision"/>
    <w:hidden/>
    <w:uiPriority w:val="99"/>
    <w:semiHidden/>
    <w:rsid w:val="002647F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2303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history.siia.net/Divisions/FISD-Financial-Information-Services-Association/Programs/Alternative-Data-Counci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fis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2021-06-02T13:37:00Z</dcterms:created>
  <dcterms:modified xsi:type="dcterms:W3CDTF">2021-06-02T13:38:00Z</dcterms:modified>
</cp:coreProperties>
</file>