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88DCC" w14:textId="5CE1E35C" w:rsidR="0030602D" w:rsidRPr="00F103DC" w:rsidRDefault="0030602D" w:rsidP="00B911D7">
      <w:pPr>
        <w:pStyle w:val="ListParagraph"/>
        <w:autoSpaceDE w:val="0"/>
        <w:autoSpaceDN w:val="0"/>
        <w:adjustRightInd w:val="0"/>
        <w:ind w:left="0"/>
        <w:rPr>
          <w:rFonts w:asciiTheme="minorHAnsi" w:eastAsia="Times New Roman" w:hAnsiTheme="minorHAnsi" w:cs="Arial"/>
        </w:rPr>
      </w:pPr>
      <w:r w:rsidRPr="00F103DC">
        <w:rPr>
          <w:rFonts w:asciiTheme="minorHAnsi" w:eastAsia="Times New Roman" w:hAnsiTheme="minorHAnsi" w:cs="Arial"/>
        </w:rPr>
        <w:t xml:space="preserve">This Web Data Collection Considerations document concerns the Terms of Service Agreements </w:t>
      </w:r>
      <w:proofErr w:type="gramStart"/>
      <w:r w:rsidRPr="00F103DC">
        <w:rPr>
          <w:rFonts w:asciiTheme="minorHAnsi" w:eastAsia="Times New Roman" w:hAnsiTheme="minorHAnsi" w:cs="Arial"/>
        </w:rPr>
        <w:t>(”TOS</w:t>
      </w:r>
      <w:proofErr w:type="gramEnd"/>
      <w:r w:rsidRPr="00F103DC">
        <w:rPr>
          <w:rFonts w:asciiTheme="minorHAnsi" w:eastAsia="Times New Roman" w:hAnsiTheme="minorHAnsi" w:cs="Arial"/>
        </w:rPr>
        <w:t>”) that are included on many websites.  There are two different types of TOS utilized across websites: “Browse-Wrap” and “Click-Wrap”. The differences in these types of TOS and associated considerations are explained below.</w:t>
      </w:r>
    </w:p>
    <w:p w14:paraId="75449429" w14:textId="77777777" w:rsidR="0030602D" w:rsidRPr="00F103DC" w:rsidRDefault="0030602D" w:rsidP="00B911D7">
      <w:pPr>
        <w:pStyle w:val="ListParagraph"/>
        <w:autoSpaceDE w:val="0"/>
        <w:autoSpaceDN w:val="0"/>
        <w:adjustRightInd w:val="0"/>
        <w:ind w:left="0"/>
        <w:rPr>
          <w:rFonts w:asciiTheme="minorHAnsi" w:eastAsia="Times New Roman" w:hAnsiTheme="minorHAnsi" w:cs="Arial"/>
        </w:rPr>
      </w:pPr>
    </w:p>
    <w:p w14:paraId="62F4ECEB"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b/>
          <w:bCs/>
        </w:rPr>
      </w:pPr>
      <w:r w:rsidRPr="00F103DC">
        <w:rPr>
          <w:rFonts w:asciiTheme="minorHAnsi" w:eastAsia="Times New Roman" w:hAnsiTheme="minorHAnsi" w:cs="Arial"/>
          <w:b/>
          <w:bCs/>
        </w:rPr>
        <w:t>Browse-Wrap</w:t>
      </w:r>
    </w:p>
    <w:p w14:paraId="6931CF4E"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36EADEAB" w14:textId="647AD253" w:rsidR="0030602D" w:rsidRPr="00F103DC" w:rsidRDefault="0030602D" w:rsidP="0037413B">
      <w:pPr>
        <w:pStyle w:val="ListParagraph"/>
        <w:autoSpaceDE w:val="0"/>
        <w:autoSpaceDN w:val="0"/>
        <w:adjustRightInd w:val="0"/>
        <w:ind w:left="0"/>
        <w:rPr>
          <w:rFonts w:asciiTheme="minorHAnsi" w:eastAsia="Times New Roman" w:hAnsiTheme="minorHAnsi" w:cs="Arial"/>
        </w:rPr>
      </w:pPr>
      <w:r w:rsidRPr="00F103DC">
        <w:rPr>
          <w:rFonts w:asciiTheme="minorHAnsi" w:eastAsia="Times New Roman" w:hAnsiTheme="minorHAnsi" w:cs="Arial"/>
        </w:rPr>
        <w:t>When a website has Browse-wrap TOS, the TOS will have language stating that by using or accessing the website, users are bound by the TOS.  Browse-wrap TOS are often made available to users through a link on certain webpages, usually somewhere near the footer.  Other than the link to the TOS, there is often no other conspicuous notice provided to users.</w:t>
      </w:r>
    </w:p>
    <w:p w14:paraId="6B6D1F35"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54533355"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bCs/>
        </w:rPr>
      </w:pPr>
      <w:r w:rsidRPr="00F103DC">
        <w:rPr>
          <w:rFonts w:asciiTheme="minorHAnsi" w:eastAsia="Times New Roman" w:hAnsiTheme="minorHAnsi" w:cs="Arial"/>
        </w:rPr>
        <w:t xml:space="preserve">An example of </w:t>
      </w:r>
      <w:r w:rsidRPr="00F103DC">
        <w:rPr>
          <w:rFonts w:asciiTheme="minorHAnsi" w:eastAsia="Times New Roman" w:hAnsiTheme="minorHAnsi" w:cs="Arial"/>
          <w:bCs/>
        </w:rPr>
        <w:t>language indicating that TOS are Browse-Wrap is:</w:t>
      </w:r>
    </w:p>
    <w:p w14:paraId="16E5201E"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6F0DE960" w14:textId="77777777" w:rsidR="0030602D" w:rsidRPr="00F103DC" w:rsidRDefault="0030602D" w:rsidP="00B911D7">
      <w:pPr>
        <w:pStyle w:val="ListParagraph"/>
        <w:autoSpaceDE w:val="0"/>
        <w:autoSpaceDN w:val="0"/>
        <w:adjustRightInd w:val="0"/>
        <w:ind w:left="432" w:right="432"/>
        <w:jc w:val="both"/>
        <w:rPr>
          <w:rFonts w:asciiTheme="minorHAnsi" w:eastAsia="Times New Roman" w:hAnsiTheme="minorHAnsi" w:cs="Arial"/>
          <w:sz w:val="18"/>
          <w:szCs w:val="20"/>
        </w:rPr>
      </w:pPr>
      <w:r w:rsidRPr="00F103DC">
        <w:rPr>
          <w:rFonts w:asciiTheme="minorHAnsi" w:eastAsia="Times New Roman" w:hAnsiTheme="minorHAnsi" w:cs="Arial"/>
          <w:sz w:val="18"/>
          <w:szCs w:val="20"/>
        </w:rPr>
        <w:t>“Regardless of what type of User you are, these Terms create a legal agreement directly between you and COMPANY and explain the rules governing use of the Service and Websites. By accessing or using the Service and Websites, you acknowledge and agree that you have read, understand, and agree to be bound by these Terms and our Privacy Policy. If you do not agree to these Terms, please do not access or use the Service and Websites.”</w:t>
      </w:r>
    </w:p>
    <w:p w14:paraId="03BEF6D9"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501096C2" w14:textId="77777777" w:rsidR="0030602D" w:rsidRPr="00F103DC" w:rsidRDefault="0030602D" w:rsidP="0037413B">
      <w:pPr>
        <w:pStyle w:val="ListParagraph"/>
        <w:autoSpaceDE w:val="0"/>
        <w:autoSpaceDN w:val="0"/>
        <w:adjustRightInd w:val="0"/>
        <w:ind w:left="0"/>
        <w:rPr>
          <w:rFonts w:asciiTheme="minorHAnsi" w:eastAsia="Times New Roman" w:hAnsiTheme="minorHAnsi" w:cs="Arial"/>
        </w:rPr>
      </w:pPr>
      <w:r w:rsidRPr="00F103DC">
        <w:rPr>
          <w:rFonts w:asciiTheme="minorHAnsi" w:eastAsia="Times New Roman" w:hAnsiTheme="minorHAnsi" w:cs="Arial"/>
        </w:rPr>
        <w:t xml:space="preserve">Most notably, browse-wrap TOS do not require users to affirmatively accept the TOS, nor do they usually contain an affirmation that the user has viewed the TOS. </w:t>
      </w:r>
    </w:p>
    <w:p w14:paraId="27746599"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376A5F3F" w14:textId="77999BF0" w:rsidR="0030602D" w:rsidRPr="00F103DC" w:rsidRDefault="0030602D" w:rsidP="0030602D">
      <w:pPr>
        <w:pStyle w:val="ListParagraph"/>
        <w:autoSpaceDE w:val="0"/>
        <w:autoSpaceDN w:val="0"/>
        <w:adjustRightInd w:val="0"/>
        <w:ind w:left="0"/>
        <w:rPr>
          <w:rFonts w:asciiTheme="minorHAnsi" w:eastAsia="Times New Roman" w:hAnsiTheme="minorHAnsi" w:cs="Arial"/>
        </w:rPr>
      </w:pPr>
      <w:r w:rsidRPr="00F103DC">
        <w:rPr>
          <w:rFonts w:asciiTheme="minorHAnsi" w:eastAsia="Times New Roman" w:hAnsiTheme="minorHAnsi" w:cs="Arial"/>
          <w:u w:val="single"/>
        </w:rPr>
        <w:t>Enforceability.</w:t>
      </w:r>
      <w:r w:rsidRPr="00F103DC">
        <w:rPr>
          <w:rFonts w:asciiTheme="minorHAnsi" w:eastAsia="Times New Roman" w:hAnsiTheme="minorHAnsi" w:cs="Arial"/>
        </w:rPr>
        <w:t xml:space="preserve">  While the analysis is fact-specific, courts have generally found that the lack of constructive notice and user acceptance renders browse-wrap TOS unenforceable.  Users should be aware that conspicuously placed browse-wrap TOS may provide users with adequate notice and be construed as enforceable.  Moreover, constructive notice of TOS may occur outside the ordinary access of the website and bind the users (e.g., </w:t>
      </w:r>
      <w:r w:rsidR="008E76C6" w:rsidRPr="00F103DC">
        <w:rPr>
          <w:rFonts w:asciiTheme="minorHAnsi" w:eastAsia="Times New Roman" w:hAnsiTheme="minorHAnsi" w:cs="Arial"/>
        </w:rPr>
        <w:t xml:space="preserve">TOS provided </w:t>
      </w:r>
      <w:r w:rsidRPr="00F103DC">
        <w:rPr>
          <w:rFonts w:asciiTheme="minorHAnsi" w:eastAsia="Times New Roman" w:hAnsiTheme="minorHAnsi" w:cs="Arial"/>
        </w:rPr>
        <w:t>via email have been found to be enforceable).</w:t>
      </w:r>
    </w:p>
    <w:p w14:paraId="06D4C45D" w14:textId="77777777" w:rsidR="0030602D" w:rsidRPr="00F103DC" w:rsidRDefault="0030602D" w:rsidP="0037413B">
      <w:pPr>
        <w:pStyle w:val="ListParagraph"/>
        <w:autoSpaceDE w:val="0"/>
        <w:autoSpaceDN w:val="0"/>
        <w:adjustRightInd w:val="0"/>
        <w:ind w:left="0"/>
        <w:jc w:val="both"/>
        <w:rPr>
          <w:rFonts w:asciiTheme="minorHAnsi" w:eastAsia="Times New Roman" w:hAnsiTheme="minorHAnsi" w:cs="Arial"/>
        </w:rPr>
      </w:pPr>
    </w:p>
    <w:p w14:paraId="2B7DDA69" w14:textId="77777777" w:rsidR="0030602D" w:rsidRPr="00F103DC" w:rsidRDefault="0030602D" w:rsidP="0037413B">
      <w:pPr>
        <w:pStyle w:val="ListParagraph"/>
        <w:autoSpaceDE w:val="0"/>
        <w:autoSpaceDN w:val="0"/>
        <w:adjustRightInd w:val="0"/>
        <w:ind w:left="0"/>
        <w:jc w:val="both"/>
        <w:rPr>
          <w:rFonts w:asciiTheme="minorHAnsi" w:eastAsia="Times New Roman" w:hAnsiTheme="minorHAnsi" w:cs="Arial"/>
        </w:rPr>
      </w:pPr>
      <w:r w:rsidRPr="00F103DC">
        <w:rPr>
          <w:rFonts w:asciiTheme="minorHAnsi" w:eastAsia="Times New Roman" w:hAnsiTheme="minorHAnsi" w:cs="Arial"/>
          <w:u w:val="single"/>
        </w:rPr>
        <w:t>Material Non-Public Information.</w:t>
      </w:r>
    </w:p>
    <w:p w14:paraId="1630B195" w14:textId="77777777" w:rsidR="0030602D" w:rsidRPr="00F103DC" w:rsidRDefault="0030602D" w:rsidP="0030602D">
      <w:pPr>
        <w:pStyle w:val="ListParagraph"/>
        <w:numPr>
          <w:ilvl w:val="0"/>
          <w:numId w:val="3"/>
        </w:numPr>
        <w:autoSpaceDE w:val="0"/>
        <w:autoSpaceDN w:val="0"/>
        <w:adjustRightInd w:val="0"/>
        <w:rPr>
          <w:rFonts w:asciiTheme="minorHAnsi" w:eastAsia="Times New Roman" w:hAnsiTheme="minorHAnsi" w:cs="Arial"/>
        </w:rPr>
      </w:pPr>
      <w:r w:rsidRPr="00F103DC">
        <w:rPr>
          <w:rFonts w:asciiTheme="minorHAnsi" w:eastAsia="Times New Roman" w:hAnsiTheme="minorHAnsi" w:cs="Arial"/>
        </w:rPr>
        <w:t>Public information - Information on websites that employ browse-wrap TOS and no technical access barriers may be construed by courts as constituting publicly available information.</w:t>
      </w:r>
    </w:p>
    <w:p w14:paraId="651966E3" w14:textId="77777777" w:rsidR="0030602D" w:rsidRPr="00F103DC" w:rsidRDefault="0030602D" w:rsidP="0030602D">
      <w:pPr>
        <w:pStyle w:val="ListParagraph"/>
        <w:numPr>
          <w:ilvl w:val="0"/>
          <w:numId w:val="3"/>
        </w:numPr>
        <w:autoSpaceDE w:val="0"/>
        <w:autoSpaceDN w:val="0"/>
        <w:adjustRightInd w:val="0"/>
        <w:jc w:val="both"/>
        <w:rPr>
          <w:rFonts w:asciiTheme="minorHAnsi" w:eastAsia="Times New Roman" w:hAnsiTheme="minorHAnsi" w:cs="Arial"/>
        </w:rPr>
      </w:pPr>
      <w:r w:rsidRPr="00F103DC">
        <w:rPr>
          <w:rFonts w:asciiTheme="minorHAnsi" w:eastAsia="Times New Roman" w:hAnsiTheme="minorHAnsi" w:cs="Arial"/>
        </w:rPr>
        <w:t xml:space="preserve">Breach of Contract:  An argument can be made that no breach of contract occurred if there was no constructive notice or acceptance of browse-wrap TOS. </w:t>
      </w:r>
    </w:p>
    <w:p w14:paraId="7ACB196E" w14:textId="77777777" w:rsidR="009E0488" w:rsidRPr="00F103DC" w:rsidRDefault="009E0488">
      <w:pPr>
        <w:spacing w:after="160" w:line="259" w:lineRule="auto"/>
        <w:rPr>
          <w:rFonts w:asciiTheme="minorHAnsi" w:eastAsia="Times New Roman" w:hAnsiTheme="minorHAnsi" w:cs="Arial"/>
          <w:b/>
          <w:bCs/>
        </w:rPr>
      </w:pPr>
      <w:r w:rsidRPr="00F103DC">
        <w:rPr>
          <w:rFonts w:asciiTheme="minorHAnsi" w:eastAsia="Times New Roman" w:hAnsiTheme="minorHAnsi" w:cs="Arial"/>
          <w:b/>
          <w:bCs/>
        </w:rPr>
        <w:br w:type="page"/>
      </w:r>
    </w:p>
    <w:p w14:paraId="153A0447" w14:textId="23F7F6FD" w:rsidR="0030602D" w:rsidRPr="00F103DC" w:rsidRDefault="0030602D" w:rsidP="00B911D7">
      <w:pPr>
        <w:pStyle w:val="ListParagraph"/>
        <w:autoSpaceDE w:val="0"/>
        <w:autoSpaceDN w:val="0"/>
        <w:adjustRightInd w:val="0"/>
        <w:ind w:left="0"/>
        <w:jc w:val="both"/>
        <w:rPr>
          <w:rFonts w:asciiTheme="minorHAnsi" w:eastAsia="Times New Roman" w:hAnsiTheme="minorHAnsi" w:cs="Arial"/>
          <w:b/>
          <w:bCs/>
        </w:rPr>
      </w:pPr>
      <w:r w:rsidRPr="00F103DC">
        <w:rPr>
          <w:rFonts w:asciiTheme="minorHAnsi" w:eastAsia="Times New Roman" w:hAnsiTheme="minorHAnsi" w:cs="Arial"/>
          <w:b/>
          <w:bCs/>
        </w:rPr>
        <w:lastRenderedPageBreak/>
        <w:t>Click-Wrap</w:t>
      </w:r>
    </w:p>
    <w:p w14:paraId="6DC2E1AB"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68586111" w14:textId="5FF24E10"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r w:rsidRPr="00F103DC">
        <w:rPr>
          <w:rFonts w:asciiTheme="minorHAnsi" w:eastAsia="Times New Roman" w:hAnsiTheme="minorHAnsi" w:cs="Arial"/>
        </w:rPr>
        <w:t>A click</w:t>
      </w:r>
      <w:r w:rsidR="008E76C6" w:rsidRPr="00F103DC">
        <w:rPr>
          <w:rFonts w:asciiTheme="minorHAnsi" w:eastAsia="Times New Roman" w:hAnsiTheme="minorHAnsi" w:cs="Arial"/>
        </w:rPr>
        <w:t>-</w:t>
      </w:r>
      <w:r w:rsidRPr="00F103DC">
        <w:rPr>
          <w:rFonts w:asciiTheme="minorHAnsi" w:eastAsia="Times New Roman" w:hAnsiTheme="minorHAnsi" w:cs="Arial"/>
        </w:rPr>
        <w:t>wrap agreement requires the user to check a box</w:t>
      </w:r>
      <w:r w:rsidR="008E76C6" w:rsidRPr="00F103DC">
        <w:rPr>
          <w:rFonts w:asciiTheme="minorHAnsi" w:eastAsia="Times New Roman" w:hAnsiTheme="minorHAnsi" w:cs="Arial"/>
        </w:rPr>
        <w:t>, click a button,</w:t>
      </w:r>
      <w:r w:rsidRPr="00F103DC">
        <w:rPr>
          <w:rFonts w:asciiTheme="minorHAnsi" w:eastAsia="Times New Roman" w:hAnsiTheme="minorHAnsi" w:cs="Arial"/>
        </w:rPr>
        <w:t xml:space="preserve"> or take some other type of </w:t>
      </w:r>
      <w:r w:rsidR="008E76C6" w:rsidRPr="00F103DC">
        <w:rPr>
          <w:rFonts w:asciiTheme="minorHAnsi" w:eastAsia="Times New Roman" w:hAnsiTheme="minorHAnsi" w:cs="Arial"/>
        </w:rPr>
        <w:t xml:space="preserve">affirmative </w:t>
      </w:r>
      <w:r w:rsidRPr="00F103DC">
        <w:rPr>
          <w:rFonts w:asciiTheme="minorHAnsi" w:eastAsia="Times New Roman" w:hAnsiTheme="minorHAnsi" w:cs="Arial"/>
        </w:rPr>
        <w:t>action</w:t>
      </w:r>
      <w:r w:rsidR="008E76C6" w:rsidRPr="00F103DC">
        <w:rPr>
          <w:rFonts w:asciiTheme="minorHAnsi" w:eastAsia="Times New Roman" w:hAnsiTheme="minorHAnsi" w:cs="Arial"/>
        </w:rPr>
        <w:t xml:space="preserve"> </w:t>
      </w:r>
      <w:r w:rsidRPr="00F103DC">
        <w:rPr>
          <w:rFonts w:asciiTheme="minorHAnsi" w:eastAsia="Times New Roman" w:hAnsiTheme="minorHAnsi" w:cs="Arial"/>
        </w:rPr>
        <w:t xml:space="preserve">indicating the </w:t>
      </w:r>
      <w:r w:rsidR="008E76C6" w:rsidRPr="00F103DC">
        <w:rPr>
          <w:rFonts w:asciiTheme="minorHAnsi" w:eastAsia="Times New Roman" w:hAnsiTheme="minorHAnsi" w:cs="Arial"/>
        </w:rPr>
        <w:t xml:space="preserve">user has paid attention to the </w:t>
      </w:r>
      <w:r w:rsidRPr="00F103DC">
        <w:rPr>
          <w:rFonts w:asciiTheme="minorHAnsi" w:eastAsia="Times New Roman" w:hAnsiTheme="minorHAnsi" w:cs="Arial"/>
        </w:rPr>
        <w:t xml:space="preserve">TOS </w:t>
      </w:r>
      <w:r w:rsidR="008E76C6" w:rsidRPr="00F103DC">
        <w:rPr>
          <w:rFonts w:asciiTheme="minorHAnsi" w:eastAsia="Times New Roman" w:hAnsiTheme="minorHAnsi" w:cs="Arial"/>
        </w:rPr>
        <w:t>and assents to the terms</w:t>
      </w:r>
      <w:r w:rsidRPr="00F103DC">
        <w:rPr>
          <w:rFonts w:asciiTheme="minorHAnsi" w:eastAsia="Times New Roman" w:hAnsiTheme="minorHAnsi" w:cs="Arial"/>
        </w:rPr>
        <w:t xml:space="preserve">.  </w:t>
      </w:r>
      <w:r w:rsidR="008E76C6" w:rsidRPr="00F103DC">
        <w:rPr>
          <w:rFonts w:asciiTheme="minorHAnsi" w:eastAsia="Times New Roman" w:hAnsiTheme="minorHAnsi" w:cs="Arial"/>
        </w:rPr>
        <w:t>In the example below,</w:t>
      </w:r>
      <w:r w:rsidRPr="00F103DC">
        <w:rPr>
          <w:rFonts w:asciiTheme="minorHAnsi" w:eastAsia="Times New Roman" w:hAnsiTheme="minorHAnsi" w:cs="Arial"/>
          <w:bCs/>
        </w:rPr>
        <w:t xml:space="preserve"> the user </w:t>
      </w:r>
      <w:r w:rsidR="009E0488" w:rsidRPr="00F103DC">
        <w:rPr>
          <w:rFonts w:asciiTheme="minorHAnsi" w:eastAsia="Times New Roman" w:hAnsiTheme="minorHAnsi" w:cs="Arial"/>
          <w:bCs/>
        </w:rPr>
        <w:t xml:space="preserve">must </w:t>
      </w:r>
      <w:r w:rsidRPr="00F103DC">
        <w:rPr>
          <w:rFonts w:asciiTheme="minorHAnsi" w:eastAsia="Times New Roman" w:hAnsiTheme="minorHAnsi" w:cs="Arial"/>
          <w:bCs/>
        </w:rPr>
        <w:t xml:space="preserve">create an account and password </w:t>
      </w:r>
      <w:r w:rsidR="009E0488" w:rsidRPr="00F103DC">
        <w:rPr>
          <w:rFonts w:asciiTheme="minorHAnsi" w:eastAsia="Times New Roman" w:hAnsiTheme="minorHAnsi" w:cs="Arial"/>
          <w:bCs/>
        </w:rPr>
        <w:t xml:space="preserve">to access a website.  In that process, the user is given a prominent </w:t>
      </w:r>
      <w:r w:rsidRPr="00F103DC">
        <w:rPr>
          <w:rFonts w:asciiTheme="minorHAnsi" w:eastAsia="Times New Roman" w:hAnsiTheme="minorHAnsi" w:cs="Arial"/>
          <w:bCs/>
        </w:rPr>
        <w:t xml:space="preserve">notice </w:t>
      </w:r>
      <w:r w:rsidR="009E0488" w:rsidRPr="00F103DC">
        <w:rPr>
          <w:rFonts w:asciiTheme="minorHAnsi" w:eastAsia="Times New Roman" w:hAnsiTheme="minorHAnsi" w:cs="Arial"/>
          <w:bCs/>
        </w:rPr>
        <w:t>that by clicking “Agree and Join,” the user is agreeing to multiple agreements forming the TOS for the website</w:t>
      </w:r>
      <w:r w:rsidRPr="00F103DC">
        <w:rPr>
          <w:rFonts w:asciiTheme="minorHAnsi" w:eastAsia="Times New Roman" w:hAnsiTheme="minorHAnsi" w:cs="Arial"/>
        </w:rPr>
        <w:t xml:space="preserve">: </w:t>
      </w:r>
    </w:p>
    <w:p w14:paraId="2190C46F"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49CCA872" w14:textId="77777777" w:rsidR="0030602D" w:rsidRPr="00F103DC" w:rsidRDefault="0030602D" w:rsidP="00B911D7">
      <w:pPr>
        <w:pStyle w:val="ListParagraph"/>
        <w:autoSpaceDE w:val="0"/>
        <w:autoSpaceDN w:val="0"/>
        <w:adjustRightInd w:val="0"/>
        <w:ind w:left="0"/>
        <w:jc w:val="center"/>
        <w:rPr>
          <w:rFonts w:asciiTheme="minorHAnsi" w:eastAsia="Times New Roman" w:hAnsiTheme="minorHAnsi" w:cs="Arial"/>
        </w:rPr>
      </w:pPr>
      <w:r w:rsidRPr="00F103DC">
        <w:rPr>
          <w:rFonts w:asciiTheme="minorHAnsi" w:hAnsiTheme="minorHAnsi" w:cs="Arial"/>
          <w:noProof/>
        </w:rPr>
        <w:drawing>
          <wp:inline distT="0" distB="0" distL="0" distR="0" wp14:anchorId="2DFA524F" wp14:editId="77346747">
            <wp:extent cx="3028950" cy="13689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6686" cy="1376944"/>
                    </a:xfrm>
                    <a:prstGeom prst="rect">
                      <a:avLst/>
                    </a:prstGeom>
                  </pic:spPr>
                </pic:pic>
              </a:graphicData>
            </a:graphic>
          </wp:inline>
        </w:drawing>
      </w:r>
    </w:p>
    <w:p w14:paraId="4B66FA40" w14:textId="77777777" w:rsidR="0030602D" w:rsidRPr="00F103DC" w:rsidRDefault="0030602D" w:rsidP="00B911D7">
      <w:pPr>
        <w:pStyle w:val="ListParagraph"/>
        <w:autoSpaceDE w:val="0"/>
        <w:autoSpaceDN w:val="0"/>
        <w:adjustRightInd w:val="0"/>
        <w:ind w:left="0"/>
        <w:jc w:val="both"/>
        <w:rPr>
          <w:rFonts w:asciiTheme="minorHAnsi" w:hAnsiTheme="minorHAnsi" w:cs="Arial"/>
        </w:rPr>
      </w:pPr>
    </w:p>
    <w:p w14:paraId="489B451D" w14:textId="77777777" w:rsidR="0030602D" w:rsidRPr="00F103DC" w:rsidRDefault="0030602D" w:rsidP="00B911D7">
      <w:pPr>
        <w:pStyle w:val="ListParagraph"/>
        <w:autoSpaceDE w:val="0"/>
        <w:autoSpaceDN w:val="0"/>
        <w:adjustRightInd w:val="0"/>
        <w:ind w:left="432" w:right="432"/>
        <w:jc w:val="both"/>
        <w:rPr>
          <w:rFonts w:asciiTheme="minorHAnsi" w:hAnsiTheme="minorHAnsi" w:cs="Arial"/>
          <w:sz w:val="18"/>
          <w:szCs w:val="21"/>
        </w:rPr>
      </w:pPr>
      <w:r w:rsidRPr="00F103DC">
        <w:rPr>
          <w:rFonts w:asciiTheme="minorHAnsi" w:hAnsiTheme="minorHAnsi" w:cs="Arial"/>
          <w:sz w:val="18"/>
          <w:szCs w:val="21"/>
        </w:rPr>
        <w:t>“You agree that by clicking “Join Now”, “Join WEBSITE”, “Sign Up” or similar, registering, accessing or using our services (described below), </w:t>
      </w:r>
      <w:r w:rsidRPr="00F103DC">
        <w:rPr>
          <w:rStyle w:val="Strong"/>
          <w:rFonts w:asciiTheme="minorHAnsi" w:hAnsiTheme="minorHAnsi" w:cs="Arial"/>
          <w:sz w:val="18"/>
          <w:szCs w:val="21"/>
          <w:bdr w:val="none" w:sz="0" w:space="0" w:color="auto" w:frame="1"/>
        </w:rPr>
        <w:t>you are agreeing to enter into a legally binding contract</w:t>
      </w:r>
      <w:r w:rsidRPr="00F103DC">
        <w:rPr>
          <w:rFonts w:asciiTheme="minorHAnsi" w:hAnsiTheme="minorHAnsi" w:cs="Arial"/>
          <w:sz w:val="18"/>
          <w:szCs w:val="21"/>
        </w:rPr>
        <w:t> with WEBSITE (even if you are using our Services on behalf of a company). If you do not agree to this contract (“Contract” or “User Agreement”), do </w:t>
      </w:r>
      <w:r w:rsidRPr="00F103DC">
        <w:rPr>
          <w:rStyle w:val="Strong"/>
          <w:rFonts w:asciiTheme="minorHAnsi" w:hAnsiTheme="minorHAnsi" w:cs="Arial"/>
          <w:sz w:val="18"/>
          <w:szCs w:val="21"/>
          <w:bdr w:val="none" w:sz="0" w:space="0" w:color="auto" w:frame="1"/>
        </w:rPr>
        <w:t>not</w:t>
      </w:r>
      <w:r w:rsidRPr="00F103DC">
        <w:rPr>
          <w:rFonts w:asciiTheme="minorHAnsi" w:hAnsiTheme="minorHAnsi" w:cs="Arial"/>
          <w:sz w:val="18"/>
          <w:szCs w:val="21"/>
        </w:rPr>
        <w:t> click “Join Now” (or similar) and do not access or otherwise use any of our Services. If you wish to terminate this contract, at any time you can do so by closing your account and no longer accessing or using our Services.”</w:t>
      </w:r>
    </w:p>
    <w:p w14:paraId="07B7378A"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1ADA5FFC" w14:textId="6DA9B771"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r w:rsidRPr="00F103DC">
        <w:rPr>
          <w:rFonts w:asciiTheme="minorHAnsi" w:eastAsia="Times New Roman" w:hAnsiTheme="minorHAnsi" w:cs="Arial"/>
        </w:rPr>
        <w:t>Click-wrap TOS may be presented to users in a variety of different ways (e.g., just-in-time notification with a link, a pop-up window that requires users to scroll to the bottom), but the feature that distinguishes click-wrap TOS from browse-wrap TOS is that users are required to take some kind of affirmative action to accept the TOS (e.g., through mouse click(s), scrolling through pop-up windows, completing a security CAPTCHA or entering username/ password).</w:t>
      </w:r>
    </w:p>
    <w:p w14:paraId="46A0F886"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286B0C71"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r w:rsidRPr="00F103DC">
        <w:rPr>
          <w:rFonts w:asciiTheme="minorHAnsi" w:eastAsia="Times New Roman" w:hAnsiTheme="minorHAnsi" w:cs="Arial"/>
          <w:u w:val="single"/>
        </w:rPr>
        <w:t>Enforceability</w:t>
      </w:r>
      <w:r w:rsidRPr="00F103DC">
        <w:rPr>
          <w:rFonts w:asciiTheme="minorHAnsi" w:eastAsia="Times New Roman" w:hAnsiTheme="minorHAnsi" w:cs="Arial"/>
        </w:rPr>
        <w:t>.  While the analysis is fact-specific, courts have generally found that a website that requires users to take affirmative action(s) to access the website is sufficient to evidence constructive notice and contractual acceptance.  Therefore, courts have generally found that click-wrap TOS are enforceable.</w:t>
      </w:r>
    </w:p>
    <w:p w14:paraId="2DC903C6"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13A289AA"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u w:val="single"/>
        </w:rPr>
      </w:pPr>
      <w:r w:rsidRPr="00F103DC">
        <w:rPr>
          <w:rFonts w:asciiTheme="minorHAnsi" w:eastAsia="Times New Roman" w:hAnsiTheme="minorHAnsi" w:cs="Arial"/>
          <w:u w:val="single"/>
        </w:rPr>
        <w:t xml:space="preserve">Material Non-Public Information </w:t>
      </w:r>
    </w:p>
    <w:p w14:paraId="5D880437" w14:textId="77777777" w:rsidR="0030602D" w:rsidRPr="00F103DC" w:rsidRDefault="0030602D" w:rsidP="001E78C1">
      <w:pPr>
        <w:pStyle w:val="ListParagraph"/>
        <w:numPr>
          <w:ilvl w:val="0"/>
          <w:numId w:val="3"/>
        </w:numPr>
        <w:autoSpaceDE w:val="0"/>
        <w:autoSpaceDN w:val="0"/>
        <w:adjustRightInd w:val="0"/>
        <w:rPr>
          <w:rFonts w:asciiTheme="minorHAnsi" w:eastAsia="Times New Roman" w:hAnsiTheme="minorHAnsi" w:cs="Arial"/>
        </w:rPr>
      </w:pPr>
      <w:r w:rsidRPr="00F103DC">
        <w:rPr>
          <w:rFonts w:asciiTheme="minorHAnsi" w:eastAsia="Times New Roman" w:hAnsiTheme="minorHAnsi" w:cs="Arial"/>
        </w:rPr>
        <w:t xml:space="preserve">Public Information – There is a lack of clear guidance about whether content located “behind” click-wrap TOS is considered public or non-public. </w:t>
      </w:r>
    </w:p>
    <w:p w14:paraId="46169A6E" w14:textId="2C22C937" w:rsidR="0030602D" w:rsidRPr="00F103DC" w:rsidRDefault="0030602D" w:rsidP="001E78C1">
      <w:pPr>
        <w:pStyle w:val="ListParagraph"/>
        <w:numPr>
          <w:ilvl w:val="0"/>
          <w:numId w:val="3"/>
        </w:numPr>
        <w:autoSpaceDE w:val="0"/>
        <w:autoSpaceDN w:val="0"/>
        <w:adjustRightInd w:val="0"/>
        <w:rPr>
          <w:rFonts w:asciiTheme="minorHAnsi" w:eastAsia="Times New Roman" w:hAnsiTheme="minorHAnsi" w:cs="Arial"/>
        </w:rPr>
      </w:pPr>
      <w:r w:rsidRPr="00F103DC">
        <w:rPr>
          <w:rFonts w:asciiTheme="minorHAnsi" w:eastAsia="Times New Roman" w:hAnsiTheme="minorHAnsi" w:cs="Arial"/>
        </w:rPr>
        <w:lastRenderedPageBreak/>
        <w:t>Breach of Contract - Given that users affirmatively accept click-wrap TOS, it may be more difficult to make the case that no breach occurred if information was obtained in contradiction of a website’s click-wrap TOS.</w:t>
      </w:r>
    </w:p>
    <w:p w14:paraId="4D8E0511" w14:textId="77777777" w:rsidR="001602A3" w:rsidRPr="00F103DC" w:rsidRDefault="001602A3" w:rsidP="001602A3">
      <w:pPr>
        <w:pStyle w:val="ListParagraph"/>
        <w:autoSpaceDE w:val="0"/>
        <w:autoSpaceDN w:val="0"/>
        <w:adjustRightInd w:val="0"/>
        <w:rPr>
          <w:rFonts w:asciiTheme="minorHAnsi" w:eastAsia="Times New Roman" w:hAnsiTheme="minorHAnsi" w:cs="Arial"/>
        </w:rPr>
      </w:pPr>
    </w:p>
    <w:p w14:paraId="6E13076F" w14:textId="391A8E55" w:rsidR="0030602D" w:rsidRPr="00F103DC" w:rsidRDefault="009E0488" w:rsidP="00B911D7">
      <w:pPr>
        <w:pStyle w:val="ListParagraph"/>
        <w:autoSpaceDE w:val="0"/>
        <w:autoSpaceDN w:val="0"/>
        <w:adjustRightInd w:val="0"/>
        <w:ind w:left="0"/>
        <w:jc w:val="both"/>
        <w:rPr>
          <w:rFonts w:asciiTheme="minorHAnsi" w:eastAsia="Times New Roman" w:hAnsiTheme="minorHAnsi" w:cs="Arial"/>
          <w:b/>
          <w:bCs/>
        </w:rPr>
      </w:pPr>
      <w:r w:rsidRPr="00F103DC">
        <w:rPr>
          <w:rFonts w:asciiTheme="minorHAnsi" w:eastAsia="Times New Roman" w:hAnsiTheme="minorHAnsi" w:cs="Arial"/>
          <w:b/>
          <w:bCs/>
        </w:rPr>
        <w:t>TOS Language</w:t>
      </w:r>
    </w:p>
    <w:p w14:paraId="6B111E3D"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0AC2002D" w14:textId="77777777" w:rsidR="0030602D" w:rsidRPr="00F103DC" w:rsidRDefault="0030602D" w:rsidP="00432D8A">
      <w:pPr>
        <w:pStyle w:val="ListParagraph"/>
        <w:autoSpaceDE w:val="0"/>
        <w:autoSpaceDN w:val="0"/>
        <w:adjustRightInd w:val="0"/>
        <w:ind w:left="0"/>
        <w:jc w:val="both"/>
        <w:rPr>
          <w:rFonts w:asciiTheme="minorHAnsi" w:eastAsia="Times New Roman" w:hAnsiTheme="minorHAnsi" w:cs="Arial"/>
        </w:rPr>
      </w:pPr>
      <w:r w:rsidRPr="00F103DC">
        <w:rPr>
          <w:rFonts w:asciiTheme="minorHAnsi" w:eastAsia="Times New Roman" w:hAnsiTheme="minorHAnsi" w:cs="Arial"/>
        </w:rPr>
        <w:t>In addition, it is important to note the language that is utilized to define the TOS as it can range from relatively permissive to relatively restrictive terms:</w:t>
      </w:r>
    </w:p>
    <w:p w14:paraId="4F8D751F"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00D2F7A3"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r w:rsidRPr="00F103DC">
        <w:rPr>
          <w:rFonts w:asciiTheme="minorHAnsi" w:eastAsia="Times New Roman" w:hAnsiTheme="minorHAnsi" w:cs="Arial"/>
        </w:rPr>
        <w:t xml:space="preserve">An example of </w:t>
      </w:r>
      <w:r w:rsidRPr="00F103DC">
        <w:rPr>
          <w:rFonts w:asciiTheme="minorHAnsi" w:eastAsia="Times New Roman" w:hAnsiTheme="minorHAnsi" w:cs="Arial"/>
          <w:b/>
        </w:rPr>
        <w:t>relatively permissive webscraping</w:t>
      </w:r>
      <w:r w:rsidRPr="00F103DC">
        <w:rPr>
          <w:rFonts w:asciiTheme="minorHAnsi" w:eastAsia="Times New Roman" w:hAnsiTheme="minorHAnsi" w:cs="Arial"/>
        </w:rPr>
        <w:t xml:space="preserve"> </w:t>
      </w:r>
      <w:r w:rsidRPr="00F103DC">
        <w:rPr>
          <w:rFonts w:asciiTheme="minorHAnsi" w:eastAsia="Times New Roman" w:hAnsiTheme="minorHAnsi" w:cs="Arial"/>
          <w:b/>
        </w:rPr>
        <w:t>language from TOS is:</w:t>
      </w:r>
    </w:p>
    <w:p w14:paraId="3872E5BB"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p>
    <w:p w14:paraId="2AE415A5" w14:textId="77777777" w:rsidR="0030602D" w:rsidRPr="00F103DC" w:rsidRDefault="0030602D" w:rsidP="00B911D7">
      <w:pPr>
        <w:pStyle w:val="ListParagraph"/>
        <w:autoSpaceDE w:val="0"/>
        <w:autoSpaceDN w:val="0"/>
        <w:adjustRightInd w:val="0"/>
        <w:ind w:left="432" w:right="432"/>
        <w:jc w:val="both"/>
        <w:rPr>
          <w:rFonts w:asciiTheme="minorHAnsi" w:hAnsiTheme="minorHAnsi" w:cs="Arial"/>
          <w:sz w:val="18"/>
          <w:szCs w:val="21"/>
        </w:rPr>
      </w:pPr>
      <w:r w:rsidRPr="00F103DC">
        <w:rPr>
          <w:rFonts w:asciiTheme="minorHAnsi" w:hAnsiTheme="minorHAnsi" w:cs="Arial"/>
          <w:sz w:val="18"/>
          <w:szCs w:val="21"/>
        </w:rPr>
        <w:t>“To ensure that everyone has equitable access to WEBSITE content, please use efficient scripting, downloading only what you need and please moderate requests to minimize server load. The WEBSITE-HOST reserves the right to limit request rates to preserve fair access for all users.”</w:t>
      </w:r>
    </w:p>
    <w:p w14:paraId="0B1F30AA" w14:textId="77777777" w:rsidR="0030602D" w:rsidRPr="00F103DC" w:rsidRDefault="0030602D" w:rsidP="00B911D7">
      <w:pPr>
        <w:pStyle w:val="ListParagraph"/>
        <w:autoSpaceDE w:val="0"/>
        <w:autoSpaceDN w:val="0"/>
        <w:adjustRightInd w:val="0"/>
        <w:ind w:left="432" w:right="432"/>
        <w:jc w:val="both"/>
        <w:rPr>
          <w:rFonts w:asciiTheme="minorHAnsi" w:hAnsiTheme="minorHAnsi" w:cs="Arial"/>
          <w:sz w:val="18"/>
          <w:szCs w:val="21"/>
        </w:rPr>
      </w:pPr>
    </w:p>
    <w:p w14:paraId="469A9571" w14:textId="77777777" w:rsidR="0030602D" w:rsidRPr="00F103DC" w:rsidRDefault="0030602D" w:rsidP="00B911D7">
      <w:pPr>
        <w:pStyle w:val="ListParagraph"/>
        <w:autoSpaceDE w:val="0"/>
        <w:autoSpaceDN w:val="0"/>
        <w:adjustRightInd w:val="0"/>
        <w:ind w:left="432" w:right="432"/>
        <w:jc w:val="both"/>
        <w:rPr>
          <w:rFonts w:asciiTheme="minorHAnsi" w:hAnsiTheme="minorHAnsi" w:cs="Arial"/>
          <w:sz w:val="18"/>
          <w:szCs w:val="21"/>
        </w:rPr>
      </w:pPr>
    </w:p>
    <w:p w14:paraId="3363E5EB" w14:textId="77777777" w:rsidR="0030602D" w:rsidRPr="00F103DC" w:rsidRDefault="0030602D" w:rsidP="00B911D7">
      <w:pPr>
        <w:pStyle w:val="ListParagraph"/>
        <w:autoSpaceDE w:val="0"/>
        <w:autoSpaceDN w:val="0"/>
        <w:adjustRightInd w:val="0"/>
        <w:ind w:left="0"/>
        <w:jc w:val="both"/>
        <w:rPr>
          <w:rFonts w:asciiTheme="minorHAnsi" w:eastAsia="Times New Roman" w:hAnsiTheme="minorHAnsi" w:cs="Arial"/>
        </w:rPr>
      </w:pPr>
      <w:r w:rsidRPr="00F103DC">
        <w:rPr>
          <w:rFonts w:asciiTheme="minorHAnsi" w:eastAsia="Times New Roman" w:hAnsiTheme="minorHAnsi" w:cs="Arial"/>
        </w:rPr>
        <w:t xml:space="preserve">An example of </w:t>
      </w:r>
      <w:r w:rsidRPr="00F103DC">
        <w:rPr>
          <w:rFonts w:asciiTheme="minorHAnsi" w:eastAsia="Times New Roman" w:hAnsiTheme="minorHAnsi" w:cs="Arial"/>
          <w:b/>
        </w:rPr>
        <w:t>relatively restrictive webscraping</w:t>
      </w:r>
      <w:r w:rsidRPr="00F103DC">
        <w:rPr>
          <w:rFonts w:asciiTheme="minorHAnsi" w:eastAsia="Times New Roman" w:hAnsiTheme="minorHAnsi" w:cs="Arial"/>
        </w:rPr>
        <w:t xml:space="preserve"> </w:t>
      </w:r>
      <w:r w:rsidRPr="00F103DC">
        <w:rPr>
          <w:rFonts w:asciiTheme="minorHAnsi" w:eastAsia="Times New Roman" w:hAnsiTheme="minorHAnsi" w:cs="Arial"/>
          <w:b/>
        </w:rPr>
        <w:t>language from TOS is:</w:t>
      </w:r>
    </w:p>
    <w:p w14:paraId="1A78485B" w14:textId="77777777" w:rsidR="0030602D" w:rsidRPr="00F103DC" w:rsidRDefault="0030602D" w:rsidP="00B911D7">
      <w:pPr>
        <w:pStyle w:val="ListParagraph"/>
        <w:autoSpaceDE w:val="0"/>
        <w:autoSpaceDN w:val="0"/>
        <w:adjustRightInd w:val="0"/>
        <w:ind w:left="432" w:right="432"/>
        <w:jc w:val="both"/>
        <w:rPr>
          <w:rFonts w:asciiTheme="minorHAnsi" w:eastAsia="Times New Roman" w:hAnsiTheme="minorHAnsi" w:cs="Arial"/>
        </w:rPr>
      </w:pPr>
    </w:p>
    <w:p w14:paraId="137C98B0" w14:textId="77777777" w:rsidR="0030602D" w:rsidRPr="00F103DC" w:rsidRDefault="0030602D" w:rsidP="0030602D">
      <w:pPr>
        <w:ind w:left="432" w:right="432"/>
        <w:textAlignment w:val="baseline"/>
        <w:rPr>
          <w:rFonts w:asciiTheme="minorHAnsi" w:eastAsia="Times New Roman" w:hAnsiTheme="minorHAnsi" w:cs="Arial"/>
          <w:b/>
          <w:bCs/>
          <w:sz w:val="18"/>
          <w:szCs w:val="18"/>
          <w:bdr w:val="none" w:sz="0" w:space="0" w:color="auto" w:frame="1"/>
        </w:rPr>
      </w:pPr>
      <w:r w:rsidRPr="00F103DC">
        <w:rPr>
          <w:rFonts w:asciiTheme="minorHAnsi" w:eastAsia="Times New Roman" w:hAnsiTheme="minorHAnsi" w:cs="Arial"/>
          <w:b/>
          <w:bCs/>
          <w:sz w:val="18"/>
          <w:szCs w:val="18"/>
          <w:bdr w:val="none" w:sz="0" w:space="0" w:color="auto" w:frame="1"/>
        </w:rPr>
        <w:t>“You agree that you will </w:t>
      </w:r>
      <w:r w:rsidRPr="00F103DC">
        <w:rPr>
          <w:rFonts w:asciiTheme="minorHAnsi" w:eastAsia="Times New Roman" w:hAnsiTheme="minorHAnsi" w:cs="Arial"/>
          <w:b/>
          <w:bCs/>
          <w:i/>
          <w:iCs/>
          <w:sz w:val="18"/>
          <w:szCs w:val="18"/>
          <w:bdr w:val="none" w:sz="0" w:space="0" w:color="auto" w:frame="1"/>
        </w:rPr>
        <w:t>not</w:t>
      </w:r>
      <w:r w:rsidRPr="00F103DC">
        <w:rPr>
          <w:rFonts w:asciiTheme="minorHAnsi" w:eastAsia="Times New Roman" w:hAnsiTheme="minorHAnsi" w:cs="Arial"/>
          <w:b/>
          <w:bCs/>
          <w:sz w:val="18"/>
          <w:szCs w:val="18"/>
          <w:bdr w:val="none" w:sz="0" w:space="0" w:color="auto" w:frame="1"/>
        </w:rPr>
        <w:t xml:space="preserve">:  </w:t>
      </w:r>
      <w:r w:rsidRPr="00F103DC">
        <w:rPr>
          <w:rFonts w:asciiTheme="minorHAnsi" w:eastAsia="Times New Roman" w:hAnsiTheme="minorHAnsi" w:cs="Arial"/>
          <w:sz w:val="18"/>
          <w:szCs w:val="18"/>
        </w:rPr>
        <w:t>Develop, support or use software, devices, scripts, robots, or any other means or processes (including crawlers, browser plugins and add-ons, or any other technology) to scrape the Services or otherwise copy profiles and other data from the Services;”</w:t>
      </w:r>
    </w:p>
    <w:p w14:paraId="7DBBF988" w14:textId="77777777" w:rsidR="009352F0" w:rsidRPr="00F103DC" w:rsidRDefault="009352F0" w:rsidP="009352F0">
      <w:pPr>
        <w:rPr>
          <w:rFonts w:asciiTheme="minorHAnsi" w:eastAsia="Times New Roman" w:hAnsiTheme="minorHAnsi" w:cs="Arial"/>
          <w:sz w:val="16"/>
        </w:rPr>
      </w:pPr>
    </w:p>
    <w:p w14:paraId="32522232" w14:textId="77777777" w:rsidR="00FA3103" w:rsidRPr="00F103DC" w:rsidRDefault="00FA3103">
      <w:pPr>
        <w:rPr>
          <w:rFonts w:asciiTheme="minorHAnsi" w:hAnsiTheme="minorHAnsi" w:cs="Arial"/>
        </w:rPr>
      </w:pPr>
    </w:p>
    <w:p w14:paraId="138B3411" w14:textId="77777777" w:rsidR="00FA3103" w:rsidRPr="00F103DC" w:rsidRDefault="00FA3103" w:rsidP="004102EE">
      <w:pPr>
        <w:rPr>
          <w:rFonts w:asciiTheme="minorHAnsi" w:hAnsiTheme="minorHAnsi" w:cs="Arial"/>
        </w:rPr>
      </w:pPr>
    </w:p>
    <w:sectPr w:rsidR="00FA3103" w:rsidRPr="00F103DC" w:rsidSect="008947FF">
      <w:headerReference w:type="default" r:id="rId9"/>
      <w:foot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91DA9" w14:textId="77777777" w:rsidR="00065E9F" w:rsidRDefault="00065E9F" w:rsidP="009352F0">
      <w:r>
        <w:separator/>
      </w:r>
    </w:p>
  </w:endnote>
  <w:endnote w:type="continuationSeparator" w:id="0">
    <w:p w14:paraId="09937441" w14:textId="77777777" w:rsidR="00065E9F" w:rsidRDefault="00065E9F" w:rsidP="0093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4830184"/>
      <w:docPartObj>
        <w:docPartGallery w:val="Page Numbers (Bottom of Page)"/>
        <w:docPartUnique/>
      </w:docPartObj>
    </w:sdtPr>
    <w:sdtEndPr>
      <w:rPr>
        <w:noProof/>
      </w:rPr>
    </w:sdtEndPr>
    <w:sdtContent>
      <w:p w14:paraId="3DAF1055" w14:textId="7FF97A38" w:rsidR="009352F0" w:rsidRDefault="009352F0" w:rsidP="009352F0">
        <w:pPr>
          <w:pStyle w:val="Footer"/>
          <w:jc w:val="right"/>
        </w:pPr>
        <w:r>
          <w:fldChar w:fldCharType="begin"/>
        </w:r>
        <w:r>
          <w:instrText xml:space="preserve"> PAGE   \* MERGEFORMAT </w:instrText>
        </w:r>
        <w:r>
          <w:fldChar w:fldCharType="separate"/>
        </w:r>
        <w:r>
          <w:t>2</w:t>
        </w:r>
        <w:r>
          <w:rPr>
            <w:noProof/>
          </w:rPr>
          <w:fldChar w:fldCharType="end"/>
        </w:r>
      </w:p>
    </w:sdtContent>
  </w:sdt>
  <w:p w14:paraId="001253D7" w14:textId="77777777" w:rsidR="008947FF" w:rsidRDefault="005D4F83" w:rsidP="008947FF">
    <w:pPr>
      <w:rPr>
        <w:rFonts w:cs="Tahoma"/>
        <w:sz w:val="18"/>
        <w:szCs w:val="18"/>
      </w:rPr>
    </w:pPr>
    <w:hyperlink r:id="rId1" w:history="1">
      <w:r w:rsidR="008947FF" w:rsidRPr="008947FF">
        <w:rPr>
          <w:rFonts w:cs="Tahoma"/>
          <w:sz w:val="18"/>
          <w:szCs w:val="18"/>
        </w:rPr>
        <w:t>http://www.siia.net/Divisions/FISD-Financial-Information-Services-Association/Programs/Alternative-Data-Council</w:t>
      </w:r>
    </w:hyperlink>
  </w:p>
  <w:p w14:paraId="5A27131B" w14:textId="45ADD3BE" w:rsidR="009352F0" w:rsidRDefault="008947FF" w:rsidP="008947FF">
    <w:pPr>
      <w:rPr>
        <w:rStyle w:val="Hyperlink"/>
      </w:rPr>
    </w:pPr>
    <w:r>
      <w:rPr>
        <w:rFonts w:cs="Tahoma"/>
        <w:sz w:val="18"/>
        <w:szCs w:val="18"/>
      </w:rPr>
      <w:t xml:space="preserve">Version 1.0 </w:t>
    </w:r>
    <w:r w:rsidR="001602A3">
      <w:rPr>
        <w:rFonts w:cs="Tahoma"/>
        <w:sz w:val="18"/>
        <w:szCs w:val="18"/>
      </w:rPr>
      <w:t>June</w:t>
    </w:r>
    <w:r>
      <w:rPr>
        <w:rFonts w:cs="Tahoma"/>
        <w:sz w:val="18"/>
        <w:szCs w:val="18"/>
      </w:rPr>
      <w:t xml:space="preserve"> 2020</w:t>
    </w:r>
  </w:p>
  <w:p w14:paraId="2814CEE6" w14:textId="77777777" w:rsidR="008947FF" w:rsidRDefault="008947FF" w:rsidP="008947FF"/>
  <w:p w14:paraId="415217BC" w14:textId="77777777" w:rsidR="009352F0" w:rsidRDefault="009352F0">
    <w:pPr>
      <w:pStyle w:val="Footer"/>
    </w:pPr>
  </w:p>
  <w:p w14:paraId="05655A65" w14:textId="77777777" w:rsidR="009352F0" w:rsidRDefault="00935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9E958" w14:textId="77777777" w:rsidR="00065E9F" w:rsidRDefault="00065E9F" w:rsidP="009352F0">
      <w:r>
        <w:separator/>
      </w:r>
    </w:p>
  </w:footnote>
  <w:footnote w:type="continuationSeparator" w:id="0">
    <w:p w14:paraId="6D0722A7" w14:textId="77777777" w:rsidR="00065E9F" w:rsidRDefault="00065E9F" w:rsidP="00935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40F99" w14:textId="77777777" w:rsidR="009352F0" w:rsidRPr="006F7EA4" w:rsidRDefault="009352F0" w:rsidP="009352F0">
    <w:pPr>
      <w:pStyle w:val="Heading1"/>
      <w:spacing w:before="0" w:beforeAutospacing="0" w:after="0" w:afterAutospacing="0"/>
      <w:jc w:val="center"/>
      <w:rPr>
        <w:rFonts w:ascii="Segoe UI" w:eastAsia="Times New Roman" w:hAnsi="Segoe UI" w:cs="Segoe UI"/>
        <w:sz w:val="26"/>
        <w:szCs w:val="26"/>
      </w:rPr>
    </w:pPr>
    <w:r w:rsidRPr="006F7EA4">
      <w:rPr>
        <w:rFonts w:ascii="Segoe UI" w:hAnsi="Segoe UI" w:cs="Segoe UI"/>
        <w:noProof/>
      </w:rPr>
      <w:drawing>
        <wp:inline distT="0" distB="0" distL="0" distR="0" wp14:anchorId="30104709" wp14:editId="7B81FA0F">
          <wp:extent cx="2202180" cy="381000"/>
          <wp:effectExtent l="0" t="0" r="7620" b="0"/>
          <wp:docPr id="2" name="Picture 2" descr="FISD">
            <a:hlinkClick xmlns:a="http://schemas.openxmlformats.org/drawingml/2006/main" r:id="rId1" tgtFrame="&quot;_blank&quot;"/>
          </wp:docPr>
          <wp:cNvGraphicFramePr/>
          <a:graphic xmlns:a="http://schemas.openxmlformats.org/drawingml/2006/main">
            <a:graphicData uri="http://schemas.openxmlformats.org/drawingml/2006/picture">
              <pic:pic xmlns:pic="http://schemas.openxmlformats.org/drawingml/2006/picture">
                <pic:nvPicPr>
                  <pic:cNvPr id="2" name="Picture 2" descr="FISD">
                    <a:hlinkClick r:id="rId1" tgtFrame="&quot;_blank&quo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02180" cy="381000"/>
                  </a:xfrm>
                  <a:prstGeom prst="rect">
                    <a:avLst/>
                  </a:prstGeom>
                  <a:noFill/>
                  <a:ln>
                    <a:noFill/>
                  </a:ln>
                </pic:spPr>
              </pic:pic>
            </a:graphicData>
          </a:graphic>
        </wp:inline>
      </w:drawing>
    </w:r>
    <w:r w:rsidRPr="006F7EA4">
      <w:rPr>
        <w:rFonts w:ascii="Segoe UI" w:eastAsia="Times New Roman" w:hAnsi="Segoe UI" w:cs="Segoe UI"/>
        <w:sz w:val="26"/>
        <w:szCs w:val="26"/>
      </w:rPr>
      <w:t xml:space="preserve"> </w:t>
    </w:r>
  </w:p>
  <w:p w14:paraId="56E762E2" w14:textId="77777777" w:rsidR="009352F0" w:rsidRPr="00BA7AD4" w:rsidRDefault="009352F0" w:rsidP="009352F0">
    <w:pPr>
      <w:pStyle w:val="Heading1"/>
      <w:spacing w:before="0" w:beforeAutospacing="0" w:after="0" w:afterAutospacing="0"/>
      <w:jc w:val="center"/>
      <w:rPr>
        <w:rFonts w:ascii="Segoe UI" w:eastAsia="Times New Roman" w:hAnsi="Segoe UI" w:cs="Segoe UI"/>
        <w:sz w:val="36"/>
        <w:szCs w:val="36"/>
      </w:rPr>
    </w:pPr>
    <w:r w:rsidRPr="00BA7AD4">
      <w:rPr>
        <w:rFonts w:ascii="Segoe UI" w:eastAsia="Times New Roman" w:hAnsi="Segoe UI" w:cs="Segoe UI"/>
        <w:sz w:val="36"/>
        <w:szCs w:val="36"/>
      </w:rPr>
      <w:t>Web Data Collection Considerations</w:t>
    </w:r>
    <w:r w:rsidR="006F7EA4" w:rsidRPr="00BA7AD4">
      <w:rPr>
        <w:rFonts w:ascii="Segoe UI" w:eastAsia="Times New Roman" w:hAnsi="Segoe UI" w:cs="Segoe UI"/>
        <w:sz w:val="36"/>
        <w:szCs w:val="36"/>
      </w:rPr>
      <w:t>:</w:t>
    </w:r>
  </w:p>
  <w:p w14:paraId="05C94D26" w14:textId="77777777" w:rsidR="009352F0" w:rsidRPr="00BA7AD4" w:rsidRDefault="009352F0" w:rsidP="009352F0">
    <w:pPr>
      <w:pStyle w:val="Heading1"/>
      <w:spacing w:before="0" w:beforeAutospacing="0" w:after="0" w:afterAutospacing="0"/>
      <w:jc w:val="center"/>
      <w:rPr>
        <w:rFonts w:ascii="Segoe UI" w:hAnsi="Segoe UI" w:cs="Segoe UI"/>
        <w:sz w:val="36"/>
        <w:szCs w:val="36"/>
      </w:rPr>
    </w:pPr>
    <w:r w:rsidRPr="00BA7AD4">
      <w:rPr>
        <w:rFonts w:ascii="Segoe UI" w:eastAsia="Times New Roman" w:hAnsi="Segoe UI" w:cs="Segoe UI"/>
        <w:sz w:val="36"/>
        <w:szCs w:val="36"/>
      </w:rPr>
      <w:t>Terms of Service (TOS)</w:t>
    </w:r>
  </w:p>
  <w:p w14:paraId="16A16481" w14:textId="77777777" w:rsidR="009352F0" w:rsidRPr="00BA7AD4" w:rsidRDefault="009352F0" w:rsidP="009352F0">
    <w:pPr>
      <w:pStyle w:val="Header"/>
      <w:jc w:val="cen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910E9"/>
    <w:multiLevelType w:val="hybridMultilevel"/>
    <w:tmpl w:val="E230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D6A54"/>
    <w:multiLevelType w:val="hybridMultilevel"/>
    <w:tmpl w:val="C4D6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A00CB"/>
    <w:multiLevelType w:val="multilevel"/>
    <w:tmpl w:val="14B49E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6341E33"/>
    <w:multiLevelType w:val="multilevel"/>
    <w:tmpl w:val="14B49E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F0"/>
    <w:rsid w:val="0001647E"/>
    <w:rsid w:val="00065E9F"/>
    <w:rsid w:val="000857CE"/>
    <w:rsid w:val="001160BA"/>
    <w:rsid w:val="001602A3"/>
    <w:rsid w:val="001E78C1"/>
    <w:rsid w:val="002376B2"/>
    <w:rsid w:val="0030602D"/>
    <w:rsid w:val="00372863"/>
    <w:rsid w:val="0037413B"/>
    <w:rsid w:val="004102EE"/>
    <w:rsid w:val="00432D8A"/>
    <w:rsid w:val="004B0983"/>
    <w:rsid w:val="004E3C0A"/>
    <w:rsid w:val="005124E7"/>
    <w:rsid w:val="0056224D"/>
    <w:rsid w:val="005A46E9"/>
    <w:rsid w:val="005C09D3"/>
    <w:rsid w:val="005D4B89"/>
    <w:rsid w:val="005D4F83"/>
    <w:rsid w:val="005E7DAA"/>
    <w:rsid w:val="005F60DB"/>
    <w:rsid w:val="006F7EA4"/>
    <w:rsid w:val="0071790B"/>
    <w:rsid w:val="00733B9B"/>
    <w:rsid w:val="00735F21"/>
    <w:rsid w:val="007F4580"/>
    <w:rsid w:val="00814D99"/>
    <w:rsid w:val="008947FF"/>
    <w:rsid w:val="008A67D6"/>
    <w:rsid w:val="008E76C6"/>
    <w:rsid w:val="009037DE"/>
    <w:rsid w:val="009352F0"/>
    <w:rsid w:val="009C629D"/>
    <w:rsid w:val="009E0488"/>
    <w:rsid w:val="00B911D7"/>
    <w:rsid w:val="00BA7AD4"/>
    <w:rsid w:val="00C04D63"/>
    <w:rsid w:val="00C57323"/>
    <w:rsid w:val="00C6347D"/>
    <w:rsid w:val="00CD6385"/>
    <w:rsid w:val="00DA41EC"/>
    <w:rsid w:val="00DB6C87"/>
    <w:rsid w:val="00DE27F2"/>
    <w:rsid w:val="00E675C8"/>
    <w:rsid w:val="00E83768"/>
    <w:rsid w:val="00F103DC"/>
    <w:rsid w:val="00FA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966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2F0"/>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9352F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F0"/>
    <w:pPr>
      <w:ind w:left="720"/>
      <w:contextualSpacing/>
    </w:pPr>
  </w:style>
  <w:style w:type="table" w:styleId="TableGrid">
    <w:name w:val="Table Grid"/>
    <w:basedOn w:val="TableNormal"/>
    <w:uiPriority w:val="39"/>
    <w:rsid w:val="009352F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52F0"/>
    <w:rPr>
      <w:b/>
      <w:bCs/>
    </w:rPr>
  </w:style>
  <w:style w:type="paragraph" w:styleId="Header">
    <w:name w:val="header"/>
    <w:basedOn w:val="Normal"/>
    <w:link w:val="HeaderChar"/>
    <w:uiPriority w:val="99"/>
    <w:unhideWhenUsed/>
    <w:rsid w:val="009352F0"/>
    <w:pPr>
      <w:tabs>
        <w:tab w:val="center" w:pos="4680"/>
        <w:tab w:val="right" w:pos="9360"/>
      </w:tabs>
    </w:pPr>
  </w:style>
  <w:style w:type="character" w:customStyle="1" w:styleId="HeaderChar">
    <w:name w:val="Header Char"/>
    <w:basedOn w:val="DefaultParagraphFont"/>
    <w:link w:val="Header"/>
    <w:uiPriority w:val="99"/>
    <w:rsid w:val="009352F0"/>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9352F0"/>
    <w:pPr>
      <w:tabs>
        <w:tab w:val="center" w:pos="4680"/>
        <w:tab w:val="right" w:pos="9360"/>
      </w:tabs>
    </w:pPr>
  </w:style>
  <w:style w:type="character" w:customStyle="1" w:styleId="FooterChar">
    <w:name w:val="Footer Char"/>
    <w:basedOn w:val="DefaultParagraphFont"/>
    <w:link w:val="Footer"/>
    <w:uiPriority w:val="99"/>
    <w:rsid w:val="009352F0"/>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9352F0"/>
    <w:rPr>
      <w:rFonts w:ascii="Times New Roman" w:eastAsiaTheme="minorEastAsia" w:hAnsi="Times New Roman" w:cs="Times New Roman"/>
      <w:b/>
      <w:bCs/>
      <w:kern w:val="36"/>
      <w:sz w:val="48"/>
      <w:szCs w:val="48"/>
    </w:rPr>
  </w:style>
  <w:style w:type="character" w:styleId="Hyperlink">
    <w:name w:val="Hyperlink"/>
    <w:basedOn w:val="DefaultParagraphFont"/>
    <w:uiPriority w:val="99"/>
    <w:unhideWhenUsed/>
    <w:rsid w:val="009352F0"/>
    <w:rPr>
      <w:color w:val="0000FF"/>
      <w:u w:val="single"/>
    </w:rPr>
  </w:style>
  <w:style w:type="paragraph" w:styleId="BalloonText">
    <w:name w:val="Balloon Text"/>
    <w:basedOn w:val="Normal"/>
    <w:link w:val="BalloonTextChar"/>
    <w:uiPriority w:val="99"/>
    <w:semiHidden/>
    <w:unhideWhenUsed/>
    <w:rsid w:val="005124E7"/>
    <w:rPr>
      <w:sz w:val="18"/>
      <w:szCs w:val="18"/>
    </w:rPr>
  </w:style>
  <w:style w:type="character" w:customStyle="1" w:styleId="BalloonTextChar">
    <w:name w:val="Balloon Text Char"/>
    <w:basedOn w:val="DefaultParagraphFont"/>
    <w:link w:val="BalloonText"/>
    <w:uiPriority w:val="99"/>
    <w:semiHidden/>
    <w:rsid w:val="005124E7"/>
    <w:rPr>
      <w:rFonts w:ascii="Times New Roman" w:eastAsiaTheme="minorEastAsia" w:hAnsi="Times New Roman" w:cs="Times New Roman"/>
      <w:sz w:val="18"/>
      <w:szCs w:val="18"/>
    </w:rPr>
  </w:style>
  <w:style w:type="paragraph" w:styleId="Revision">
    <w:name w:val="Revision"/>
    <w:hidden/>
    <w:uiPriority w:val="99"/>
    <w:semiHidden/>
    <w:rsid w:val="00B911D7"/>
    <w:pPr>
      <w:spacing w:after="0"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8E76C6"/>
    <w:rPr>
      <w:sz w:val="16"/>
      <w:szCs w:val="16"/>
    </w:rPr>
  </w:style>
  <w:style w:type="paragraph" w:styleId="CommentText">
    <w:name w:val="annotation text"/>
    <w:basedOn w:val="Normal"/>
    <w:link w:val="CommentTextChar"/>
    <w:uiPriority w:val="99"/>
    <w:semiHidden/>
    <w:unhideWhenUsed/>
    <w:rsid w:val="008E76C6"/>
    <w:rPr>
      <w:sz w:val="20"/>
      <w:szCs w:val="20"/>
    </w:rPr>
  </w:style>
  <w:style w:type="character" w:customStyle="1" w:styleId="CommentTextChar">
    <w:name w:val="Comment Text Char"/>
    <w:basedOn w:val="DefaultParagraphFont"/>
    <w:link w:val="CommentText"/>
    <w:uiPriority w:val="99"/>
    <w:semiHidden/>
    <w:rsid w:val="008E76C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76C6"/>
    <w:rPr>
      <w:b/>
      <w:bCs/>
    </w:rPr>
  </w:style>
  <w:style w:type="character" w:customStyle="1" w:styleId="CommentSubjectChar">
    <w:name w:val="Comment Subject Char"/>
    <w:basedOn w:val="CommentTextChar"/>
    <w:link w:val="CommentSubject"/>
    <w:uiPriority w:val="99"/>
    <w:semiHidden/>
    <w:rsid w:val="008E76C6"/>
    <w:rPr>
      <w:rFonts w:ascii="Times New Roman" w:eastAsiaTheme="minorEastAsia"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siia.net/Divisions/FISD-Financial-Information-Services-Association/Programs/Alternative-Data-Counci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fis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0CBBB-982C-4DA5-B7D3-90668E84B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2020-10-26T20:01:00Z</dcterms:created>
  <dcterms:modified xsi:type="dcterms:W3CDTF">2020-10-26T20:01:00Z</dcterms:modified>
</cp:coreProperties>
</file>