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AA0C44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Docker从1.13.x版本开始，版本分为企业版EE和社区版CE，版本号也改为按照时间线来发布，比如17.03就是2017年3月，有点类似于</w:t>
      </w:r>
      <w:proofErr w:type="spellStart"/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ubuntu</w:t>
      </w:r>
      <w:proofErr w:type="spellEnd"/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的版本发布方式。</w:t>
      </w:r>
    </w:p>
    <w:p w14:paraId="61A56EC8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企业版自然会提供一些额外的服务，当然肯定也是收费的。企业版说明https://blog.docker.com/2017/03/docker-enterprise-edition/</w:t>
      </w:r>
    </w:p>
    <w:p w14:paraId="2297E5F2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社区版分为stable和edge两种发布方式。</w:t>
      </w:r>
    </w:p>
    <w:p w14:paraId="385D2EFC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stable版本是季度发布方式，比如17.03, 17.06, 17.09</w:t>
      </w:r>
    </w:p>
    <w:p w14:paraId="69E04A9E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sz w:val="28"/>
          <w:szCs w:val="28"/>
          <w:lang w:val="en-US" w:eastAsia="ja-JP"/>
        </w:rPr>
      </w:pPr>
      <w:r w:rsidRPr="00371F9D">
        <w:rPr>
          <w:rFonts w:ascii="SimSun" w:eastAsia="SimSun" w:hAnsi="SimSun" w:cs="Times"/>
          <w:color w:val="434343"/>
          <w:sz w:val="28"/>
          <w:szCs w:val="28"/>
          <w:lang w:val="en-US" w:eastAsia="ja-JP"/>
        </w:rPr>
        <w:t>edge版本是月份发布方式， 比如17.03, 17.04......</w:t>
      </w:r>
    </w:p>
    <w:p w14:paraId="5434B765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hAnsi="SimSun" w:cs="Times"/>
          <w:color w:val="434343"/>
          <w:lang w:val="en-US" w:eastAsia="ja-JP"/>
        </w:rPr>
      </w:pPr>
    </w:p>
    <w:p w14:paraId="056C8CD0" w14:textId="77777777" w:rsidR="008E24A7" w:rsidRPr="00371F9D" w:rsidRDefault="008E24A7" w:rsidP="008E24A7">
      <w:pPr>
        <w:widowControl w:val="0"/>
        <w:autoSpaceDE w:val="0"/>
        <w:autoSpaceDN w:val="0"/>
        <w:adjustRightInd w:val="0"/>
        <w:spacing w:after="0" w:line="240" w:lineRule="auto"/>
        <w:rPr>
          <w:rFonts w:ascii="SimSun" w:eastAsia="SimSun" w:hAnsi="SimSun" w:cs="Times"/>
          <w:color w:val="434343"/>
          <w:lang w:val="en-US" w:eastAsia="ja-JP"/>
        </w:rPr>
      </w:pPr>
      <w:r w:rsidRPr="00371F9D">
        <w:rPr>
          <w:rFonts w:ascii="SimSun" w:eastAsia="SimSun" w:hAnsi="SimSun" w:cs="Times"/>
          <w:noProof/>
          <w:color w:val="434343"/>
          <w:lang w:val="en-US"/>
        </w:rPr>
        <w:drawing>
          <wp:inline distT="0" distB="0" distL="0" distR="0" wp14:anchorId="782A9053" wp14:editId="13EFAED3">
            <wp:extent cx="5343945" cy="1964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429" cy="1987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2C95A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lang w:val="en-US" w:eastAsia="ja-JP"/>
        </w:rPr>
      </w:pPr>
    </w:p>
    <w:p w14:paraId="58D3479A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lang w:val="en-US" w:eastAsia="ja-JP"/>
        </w:rPr>
      </w:pPr>
      <w:r w:rsidRPr="00371F9D">
        <w:rPr>
          <w:rFonts w:ascii="SimSun" w:eastAsia="SimSun" w:hAnsi="SimSun" w:cs="Times"/>
          <w:color w:val="434343"/>
          <w:lang w:val="en-US" w:eastAsia="ja-JP"/>
        </w:rPr>
        <w:t>Docker的</w:t>
      </w:r>
      <w:proofErr w:type="spellStart"/>
      <w:r w:rsidRPr="00371F9D">
        <w:rPr>
          <w:rFonts w:ascii="SimSun" w:eastAsia="SimSun" w:hAnsi="SimSun" w:cs="Times"/>
          <w:color w:val="434343"/>
          <w:lang w:val="en-US" w:eastAsia="ja-JP"/>
        </w:rPr>
        <w:t>linux</w:t>
      </w:r>
      <w:proofErr w:type="spellEnd"/>
      <w:r w:rsidRPr="00371F9D">
        <w:rPr>
          <w:rFonts w:ascii="SimSun" w:eastAsia="SimSun" w:hAnsi="SimSun" w:cs="Times"/>
          <w:color w:val="434343"/>
          <w:lang w:val="en-US" w:eastAsia="ja-JP"/>
        </w:rPr>
        <w:t>发行版的软件仓库从以前的https://apt.dockerproject.org和https://yum.dockerproject.org变更为目前的https://download.docker.com, 软件包名字改为</w:t>
      </w:r>
      <w:proofErr w:type="spellStart"/>
      <w:r w:rsidRPr="00371F9D">
        <w:rPr>
          <w:rFonts w:ascii="SimSun" w:eastAsia="SimSun" w:hAnsi="SimSun" w:cs="Times"/>
          <w:color w:val="434343"/>
          <w:lang w:val="en-US" w:eastAsia="ja-JP"/>
        </w:rPr>
        <w:t>docker-ce</w:t>
      </w:r>
      <w:proofErr w:type="spellEnd"/>
      <w:r w:rsidRPr="00371F9D">
        <w:rPr>
          <w:rFonts w:ascii="SimSun" w:eastAsia="SimSun" w:hAnsi="SimSun" w:cs="Times"/>
          <w:color w:val="434343"/>
          <w:lang w:val="en-US" w:eastAsia="ja-JP"/>
        </w:rPr>
        <w:t>和</w:t>
      </w:r>
      <w:proofErr w:type="spellStart"/>
      <w:r w:rsidRPr="00371F9D">
        <w:rPr>
          <w:rFonts w:ascii="SimSun" w:eastAsia="SimSun" w:hAnsi="SimSun" w:cs="Times"/>
          <w:color w:val="434343"/>
          <w:lang w:val="en-US" w:eastAsia="ja-JP"/>
        </w:rPr>
        <w:t>docker-ee</w:t>
      </w:r>
      <w:proofErr w:type="spellEnd"/>
      <w:r w:rsidRPr="00371F9D">
        <w:rPr>
          <w:rFonts w:ascii="SimSun" w:eastAsia="SimSun" w:hAnsi="SimSun" w:cs="Times"/>
          <w:color w:val="434343"/>
          <w:lang w:val="en-US" w:eastAsia="ja-JP"/>
        </w:rPr>
        <w:t>。</w:t>
      </w:r>
    </w:p>
    <w:p w14:paraId="3C6ECAD8" w14:textId="77777777" w:rsidR="008E24A7" w:rsidRDefault="008E24A7" w:rsidP="008E24A7">
      <w:pPr>
        <w:widowControl w:val="0"/>
        <w:autoSpaceDE w:val="0"/>
        <w:autoSpaceDN w:val="0"/>
        <w:adjustRightInd w:val="0"/>
        <w:spacing w:after="0" w:line="400" w:lineRule="exact"/>
        <w:rPr>
          <w:rFonts w:ascii="SimSun" w:eastAsia="SimSun" w:hAnsi="SimSun" w:cs="Times"/>
          <w:color w:val="434343"/>
          <w:lang w:val="en-US" w:eastAsia="ja-JP"/>
        </w:rPr>
      </w:pPr>
    </w:p>
    <w:p w14:paraId="68786C73" w14:textId="53530CC0" w:rsidR="00BD04FE" w:rsidRDefault="008E24A7" w:rsidP="00F143AD">
      <w:pPr>
        <w:widowControl w:val="0"/>
        <w:autoSpaceDE w:val="0"/>
        <w:autoSpaceDN w:val="0"/>
        <w:adjustRightInd w:val="0"/>
        <w:spacing w:after="0" w:line="400" w:lineRule="exact"/>
        <w:rPr>
          <w:rFonts w:ascii="PingFang SC" w:eastAsia="PingFang SC" w:hAnsi="Arial" w:cs="PingFang SC"/>
          <w:color w:val="434343"/>
          <w:lang w:val="en-US"/>
        </w:rPr>
      </w:pPr>
      <w:r w:rsidRPr="00E915C7">
        <w:rPr>
          <w:rFonts w:ascii="SimSun" w:eastAsia="SimSun" w:hAnsi="SimSun" w:cs="Times"/>
          <w:color w:val="434343"/>
          <w:lang w:val="en-US" w:eastAsia="ja-JP"/>
        </w:rPr>
        <w:t>https://download.docker.com/linux/static/stable/x86_64/</w:t>
      </w:r>
    </w:p>
    <w:p w14:paraId="67005388" w14:textId="77777777" w:rsidR="00BD04FE" w:rsidRDefault="00BD04FE">
      <w:pPr>
        <w:rPr>
          <w:rFonts w:hint="eastAsia"/>
        </w:rPr>
      </w:pPr>
    </w:p>
    <w:p w14:paraId="6A763C85" w14:textId="77777777" w:rsidR="00F02C1E" w:rsidRDefault="00F02C1E">
      <w:pPr>
        <w:rPr>
          <w:rFonts w:hint="eastAsia"/>
        </w:rPr>
      </w:pPr>
    </w:p>
    <w:p w14:paraId="54FC99A0" w14:textId="77777777" w:rsidR="00F02C1E" w:rsidRDefault="00F02C1E">
      <w:pPr>
        <w:rPr>
          <w:rFonts w:hint="eastAsia"/>
        </w:rPr>
      </w:pPr>
    </w:p>
    <w:p w14:paraId="0C001CDB" w14:textId="77777777" w:rsidR="00F02C1E" w:rsidRDefault="00F02C1E" w:rsidP="00F02C1E">
      <w:pPr>
        <w:rPr>
          <w:rFonts w:ascii="Times New Roman" w:eastAsia="Times New Roman" w:hAnsi="Times New Roman"/>
          <w:color w:val="auto"/>
        </w:rPr>
      </w:pPr>
      <w:bookmarkStart w:id="0" w:name="_GoBack"/>
      <w:bookmarkEnd w:id="0"/>
      <w:proofErr w:type="spellStart"/>
      <w:r>
        <w:rPr>
          <w:rFonts w:ascii="Helvetica Neue" w:eastAsia="Times New Roman" w:hAnsi="Helvetica Neue"/>
          <w:color w:val="333333"/>
          <w:shd w:val="clear" w:color="auto" w:fill="FCFCFC"/>
        </w:rPr>
        <w:t>docker</w:t>
      </w:r>
      <w:proofErr w:type="spellEnd"/>
      <w:r>
        <w:rPr>
          <w:rFonts w:ascii="Helvetica Neue" w:eastAsia="Times New Roman" w:hAnsi="Helvetica Neue"/>
          <w:color w:val="333333"/>
          <w:shd w:val="clear" w:color="auto" w:fill="FCFCFC"/>
        </w:rPr>
        <w:t xml:space="preserve"> registry v2</w:t>
      </w:r>
      <w:r>
        <w:rPr>
          <w:rFonts w:ascii="MS Mincho" w:eastAsia="MS Mincho" w:hAnsi="MS Mincho" w:cs="MS Mincho"/>
          <w:color w:val="333333"/>
          <w:shd w:val="clear" w:color="auto" w:fill="FCFCFC"/>
        </w:rPr>
        <w:t>版本的</w:t>
      </w:r>
      <w:r>
        <w:rPr>
          <w:rFonts w:ascii="Helvetica Neue" w:eastAsia="Times New Roman" w:hAnsi="Helvetica Neue"/>
          <w:color w:val="333333"/>
          <w:shd w:val="clear" w:color="auto" w:fill="FCFCFC"/>
        </w:rPr>
        <w:t xml:space="preserve">http </w:t>
      </w:r>
      <w:proofErr w:type="spellStart"/>
      <w:r>
        <w:rPr>
          <w:rFonts w:ascii="Helvetica Neue" w:eastAsia="Times New Roman" w:hAnsi="Helvetica Neue"/>
          <w:color w:val="333333"/>
          <w:shd w:val="clear" w:color="auto" w:fill="FCFCFC"/>
        </w:rPr>
        <w:t>api</w:t>
      </w:r>
      <w:proofErr w:type="spellEnd"/>
      <w:r>
        <w:rPr>
          <w:rFonts w:ascii="Helvetica Neue" w:eastAsia="Times New Roman" w:hAnsi="Helvetica Neue"/>
          <w:color w:val="333333"/>
          <w:shd w:val="clear" w:color="auto" w:fill="FCFCFC"/>
        </w:rPr>
        <w:t xml:space="preserve"> </w:t>
      </w:r>
      <w:r>
        <w:rPr>
          <w:rFonts w:ascii="MS Mincho" w:eastAsia="MS Mincho" w:hAnsi="MS Mincho" w:cs="MS Mincho"/>
          <w:color w:val="333333"/>
          <w:shd w:val="clear" w:color="auto" w:fill="FCFCFC"/>
        </w:rPr>
        <w:t>一直没有找到合适的，自己通</w:t>
      </w:r>
      <w:r>
        <w:rPr>
          <w:rFonts w:ascii="SimSun" w:eastAsia="SimSun" w:hAnsi="SimSun" w:cs="SimSun"/>
          <w:color w:val="333333"/>
          <w:shd w:val="clear" w:color="auto" w:fill="FCFCFC"/>
        </w:rPr>
        <w:t>过阅读</w:t>
      </w:r>
      <w:r>
        <w:rPr>
          <w:rFonts w:ascii="MS Mincho" w:eastAsia="MS Mincho" w:hAnsi="MS Mincho" w:cs="MS Mincho"/>
          <w:color w:val="333333"/>
          <w:shd w:val="clear" w:color="auto" w:fill="FCFCFC"/>
        </w:rPr>
        <w:t>官方文档整理了一下。</w:t>
      </w:r>
    </w:p>
    <w:p w14:paraId="7B5FB920" w14:textId="77777777" w:rsidR="00F02C1E" w:rsidRDefault="00F02C1E" w:rsidP="00F02C1E">
      <w:pPr>
        <w:pStyle w:val="Heading2"/>
        <w:shd w:val="clear" w:color="auto" w:fill="FCFCFC"/>
        <w:spacing w:before="480"/>
        <w:rPr>
          <w:rFonts w:ascii="Georgia" w:eastAsia="Times New Roman" w:hAnsi="Georgia"/>
          <w:color w:val="333333"/>
        </w:rPr>
      </w:pPr>
      <w:bookmarkStart w:id="1" w:name="t0"/>
      <w:bookmarkEnd w:id="1"/>
      <w:r>
        <w:rPr>
          <w:rFonts w:ascii="MS Mincho" w:eastAsia="MS Mincho" w:hAnsi="MS Mincho" w:cs="MS Mincho"/>
          <w:color w:val="333333"/>
        </w:rPr>
        <w:lastRenderedPageBreak/>
        <w:t>概要</w:t>
      </w:r>
    </w:p>
    <w:tbl>
      <w:tblPr>
        <w:tblW w:w="0" w:type="auto"/>
        <w:tblBorders>
          <w:top w:val="single" w:sz="6" w:space="0" w:color="DED9D3"/>
          <w:left w:val="single" w:sz="6" w:space="0" w:color="DED9D3"/>
          <w:bottom w:val="single" w:sz="6" w:space="0" w:color="DED9D3"/>
          <w:right w:val="single" w:sz="6" w:space="0" w:color="DED9D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"/>
        <w:gridCol w:w="1155"/>
        <w:gridCol w:w="744"/>
        <w:gridCol w:w="5949"/>
      </w:tblGrid>
      <w:tr w:rsidR="00F02C1E" w14:paraId="09D050A4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4DE9FA" w14:textId="77777777" w:rsidR="00F02C1E" w:rsidRDefault="00F02C1E">
            <w:pPr>
              <w:rPr>
                <w:rFonts w:ascii="Times New Roman" w:eastAsia="Times New Roman" w:hAnsi="Times New Roman"/>
                <w:color w:val="auto"/>
              </w:rPr>
            </w:pPr>
            <w:r>
              <w:rPr>
                <w:rFonts w:eastAsia="Times New Roman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215DE4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BFD4E6B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Entity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FB625AD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Description</w:t>
            </w:r>
          </w:p>
        </w:tc>
      </w:tr>
      <w:tr w:rsidR="00F02C1E" w14:paraId="12A9CACA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B2618C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154F3A7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142590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Base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6F1BB43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Check that the endpoint implements Docker Registry API V2.</w:t>
            </w:r>
          </w:p>
        </w:tc>
      </w:tr>
      <w:tr w:rsidR="00F02C1E" w14:paraId="6630F911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6D56BDF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497FE3D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/v2/&lt;name&gt;/tags/list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60134C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Tags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52FFEE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Fetch the tags under the repository identified by name.</w:t>
            </w:r>
          </w:p>
        </w:tc>
      </w:tr>
      <w:tr w:rsidR="00F02C1E" w14:paraId="5698A204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FCFF66F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82E0AC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/v2/&lt;name&gt;/manifests/&lt;reference&gt;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60DAFF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Manifest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3BE4CE5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Fetch the manifest identified by </w:t>
            </w:r>
            <w:proofErr w:type="spellStart"/>
            <w:r>
              <w:rPr>
                <w:rFonts w:eastAsia="Times New Roman"/>
              </w:rPr>
              <w:t>nameand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referencewhere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referencecan</w:t>
            </w:r>
            <w:proofErr w:type="spellEnd"/>
            <w:r>
              <w:rPr>
                <w:rFonts w:eastAsia="Times New Roman"/>
              </w:rPr>
              <w:t xml:space="preserve"> be a tag or digest. A </w:t>
            </w:r>
            <w:proofErr w:type="spellStart"/>
            <w:r>
              <w:rPr>
                <w:rFonts w:eastAsia="Times New Roman"/>
              </w:rPr>
              <w:t>HEADrequest</w:t>
            </w:r>
            <w:proofErr w:type="spellEnd"/>
            <w:r>
              <w:rPr>
                <w:rFonts w:eastAsia="Times New Roman"/>
              </w:rPr>
              <w:t xml:space="preserve"> can also be issued to this endpoint to obtain resource information without receiving all data.</w:t>
            </w:r>
          </w:p>
        </w:tc>
      </w:tr>
      <w:tr w:rsidR="00F02C1E" w14:paraId="5516BB72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88C4F77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9D1642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/v2/&lt;name&gt;/manifests/&lt;reference&gt;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0FC9A96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Manifest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5C36C1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Put the manifest identified by </w:t>
            </w:r>
            <w:proofErr w:type="spellStart"/>
            <w:r>
              <w:rPr>
                <w:rFonts w:eastAsia="Times New Roman"/>
              </w:rPr>
              <w:t>nameand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referencewhere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referencecan</w:t>
            </w:r>
            <w:proofErr w:type="spellEnd"/>
            <w:r>
              <w:rPr>
                <w:rFonts w:eastAsia="Times New Roman"/>
              </w:rPr>
              <w:t xml:space="preserve"> be a tag or digest.</w:t>
            </w:r>
          </w:p>
        </w:tc>
      </w:tr>
      <w:tr w:rsidR="00F02C1E" w14:paraId="64739E4C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421DF60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283535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/v2/&lt;name&gt;/manifests/&lt;reference&gt;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3213F46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Manifest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D850DE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Delete the manifest identified by </w:t>
            </w:r>
            <w:proofErr w:type="spellStart"/>
            <w:r>
              <w:rPr>
                <w:rFonts w:eastAsia="Times New Roman"/>
              </w:rPr>
              <w:t>nameand</w:t>
            </w:r>
            <w:proofErr w:type="spellEnd"/>
            <w:r>
              <w:rPr>
                <w:rFonts w:eastAsia="Times New Roman"/>
              </w:rPr>
              <w:t xml:space="preserve"> reference. Note that a manifest can only be deleted by digest.</w:t>
            </w:r>
          </w:p>
        </w:tc>
      </w:tr>
      <w:tr w:rsidR="00F02C1E" w14:paraId="6BE81D55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8CA911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93EDAC0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/v2/&lt;name&gt;/blobs/&lt;digest&gt;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B5ACEF7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5C2C40E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Retrieve the blob from the registry identified </w:t>
            </w:r>
            <w:proofErr w:type="spellStart"/>
            <w:r>
              <w:rPr>
                <w:rFonts w:eastAsia="Times New Roman"/>
              </w:rPr>
              <w:t>bydigest</w:t>
            </w:r>
            <w:proofErr w:type="spellEnd"/>
            <w:r>
              <w:rPr>
                <w:rFonts w:eastAsia="Times New Roman"/>
              </w:rPr>
              <w:t xml:space="preserve">. A </w:t>
            </w:r>
            <w:proofErr w:type="spellStart"/>
            <w:r>
              <w:rPr>
                <w:rFonts w:eastAsia="Times New Roman"/>
              </w:rPr>
              <w:t>HEADrequest</w:t>
            </w:r>
            <w:proofErr w:type="spellEnd"/>
            <w:r>
              <w:rPr>
                <w:rFonts w:eastAsia="Times New Roman"/>
              </w:rPr>
              <w:t xml:space="preserve"> can also be issued to this endpoint to obtain resource information without receiving all data.</w:t>
            </w:r>
          </w:p>
        </w:tc>
      </w:tr>
      <w:tr w:rsidR="00F02C1E" w14:paraId="3570F68A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2BA3453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C76241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/v2/&lt;name&gt;/blobs/&lt;digest&gt;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B53CC04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8C695E3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Delete the blob identified by </w:t>
            </w:r>
            <w:proofErr w:type="spellStart"/>
            <w:r>
              <w:rPr>
                <w:rFonts w:eastAsia="Times New Roman"/>
              </w:rPr>
              <w:t>nameand</w:t>
            </w:r>
            <w:proofErr w:type="spellEnd"/>
            <w:r>
              <w:rPr>
                <w:rFonts w:eastAsia="Times New Roman"/>
              </w:rPr>
              <w:t xml:space="preserve"> digest</w:t>
            </w:r>
          </w:p>
        </w:tc>
      </w:tr>
      <w:tr w:rsidR="00F02C1E" w14:paraId="10BD042A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9AED423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POST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30D31E8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/v2/&lt;name&gt;/blobs/uploads/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C408067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Initiate Blob Upload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18AB135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Initiate a </w:t>
            </w:r>
            <w:proofErr w:type="spellStart"/>
            <w:r>
              <w:rPr>
                <w:rFonts w:eastAsia="Times New Roman"/>
              </w:rPr>
              <w:t>resumable</w:t>
            </w:r>
            <w:proofErr w:type="spellEnd"/>
            <w:r>
              <w:rPr>
                <w:rFonts w:eastAsia="Times New Roman"/>
              </w:rPr>
              <w:t xml:space="preserve"> blob upload. If successful, an upload location will be provided to complete the upload. Optionally, if </w:t>
            </w:r>
            <w:proofErr w:type="spellStart"/>
            <w:r>
              <w:rPr>
                <w:rFonts w:eastAsia="Times New Roman"/>
              </w:rPr>
              <w:t>thedigest</w:t>
            </w:r>
            <w:proofErr w:type="spellEnd"/>
            <w:r>
              <w:rPr>
                <w:rFonts w:eastAsia="Times New Roman"/>
              </w:rPr>
              <w:t xml:space="preserve"> parameter is present, the request body will be used to complete the upload in a single request.</w:t>
            </w:r>
          </w:p>
        </w:tc>
      </w:tr>
      <w:tr w:rsidR="00F02C1E" w14:paraId="78311DEC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E5584CB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1D428CC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/v2/&lt;name&gt;/blobs/uploads/&lt;</w:t>
            </w:r>
            <w:proofErr w:type="spellStart"/>
            <w:r>
              <w:rPr>
                <w:rFonts w:eastAsia="Times New Roman"/>
              </w:rPr>
              <w:t>uuid</w:t>
            </w:r>
            <w:proofErr w:type="spellEnd"/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2E1E21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 Upload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B46DA4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Retrieve status of upload identified </w:t>
            </w:r>
            <w:proofErr w:type="spellStart"/>
            <w:r>
              <w:rPr>
                <w:rFonts w:eastAsia="Times New Roman"/>
              </w:rPr>
              <w:t>byuuid</w:t>
            </w:r>
            <w:proofErr w:type="spellEnd"/>
            <w:r>
              <w:rPr>
                <w:rFonts w:eastAsia="Times New Roman"/>
              </w:rPr>
              <w:t xml:space="preserve">. The primary purpose of this endpoint is to resolve the current status of a </w:t>
            </w:r>
            <w:proofErr w:type="spellStart"/>
            <w:r>
              <w:rPr>
                <w:rFonts w:eastAsia="Times New Roman"/>
              </w:rPr>
              <w:t>resumable</w:t>
            </w:r>
            <w:proofErr w:type="spellEnd"/>
            <w:r>
              <w:rPr>
                <w:rFonts w:eastAsia="Times New Roman"/>
              </w:rPr>
              <w:t xml:space="preserve"> upload.</w:t>
            </w:r>
          </w:p>
        </w:tc>
      </w:tr>
      <w:tr w:rsidR="00F02C1E" w14:paraId="38249C69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F55ED2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PATCH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E77EC46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/v2/&lt;name&gt;/blobs/uploads/&lt;</w:t>
            </w:r>
            <w:proofErr w:type="spellStart"/>
            <w:r>
              <w:rPr>
                <w:rFonts w:eastAsia="Times New Roman"/>
              </w:rPr>
              <w:t>uuid</w:t>
            </w:r>
            <w:proofErr w:type="spellEnd"/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9B023FB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 Upload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4561130C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Upload a chunk of data for the specified upload.</w:t>
            </w:r>
          </w:p>
        </w:tc>
      </w:tr>
      <w:tr w:rsidR="00F02C1E" w14:paraId="03A52F3B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6F9134F2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PUT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30A908B9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/v2/&lt;name&gt;/blobs/uploads/&lt;</w:t>
            </w:r>
            <w:proofErr w:type="spellStart"/>
            <w:r>
              <w:rPr>
                <w:rFonts w:eastAsia="Times New Roman"/>
              </w:rPr>
              <w:t>uuid</w:t>
            </w:r>
            <w:proofErr w:type="spellEnd"/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5FC06EC2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 Upload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465E23D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Complete the upload specified by </w:t>
            </w:r>
            <w:proofErr w:type="spellStart"/>
            <w:r>
              <w:rPr>
                <w:rFonts w:eastAsia="Times New Roman"/>
              </w:rPr>
              <w:t>uuid</w:t>
            </w:r>
            <w:proofErr w:type="spellEnd"/>
            <w:r>
              <w:rPr>
                <w:rFonts w:eastAsia="Times New Roman"/>
              </w:rPr>
              <w:t>, optionally appending the body as the final chunk.</w:t>
            </w:r>
          </w:p>
        </w:tc>
      </w:tr>
      <w:tr w:rsidR="00F02C1E" w14:paraId="7D49095E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311A1A7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6737EDB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/v2/&lt;name&gt;/blobs/uploads/&lt;</w:t>
            </w:r>
            <w:proofErr w:type="spellStart"/>
            <w:r>
              <w:rPr>
                <w:rFonts w:eastAsia="Times New Roman"/>
              </w:rPr>
              <w:t>uuid</w:t>
            </w:r>
            <w:proofErr w:type="spellEnd"/>
            <w:r>
              <w:rPr>
                <w:rFonts w:eastAsia="Times New Roman"/>
              </w:rPr>
              <w:t>&gt;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7D63C5A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Blob Upload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6" w:space="0" w:color="DED9D3"/>
              <w:right w:val="outset" w:sz="6" w:space="0" w:color="auto"/>
            </w:tcBorders>
            <w:shd w:val="clear" w:color="auto" w:fill="F2EBE3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10D6034B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Cancel outstanding upload processes, releasing associated resources. If this is not called, the unfinished uploads will eventually timeout.</w:t>
            </w:r>
          </w:p>
        </w:tc>
      </w:tr>
      <w:tr w:rsidR="00F02C1E" w14:paraId="5B7500FA" w14:textId="77777777" w:rsidTr="00F02C1E">
        <w:tc>
          <w:tcPr>
            <w:tcW w:w="0" w:type="auto"/>
            <w:tcBorders>
              <w:top w:val="outset" w:sz="6" w:space="0" w:color="auto"/>
              <w:left w:val="single" w:sz="2" w:space="0" w:color="DED9D3"/>
              <w:bottom w:val="single" w:sz="2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5F95308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GET</w:t>
            </w:r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2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78F34BB8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/v2/_</w:t>
            </w:r>
            <w:proofErr w:type="spellStart"/>
            <w:r>
              <w:rPr>
                <w:rFonts w:eastAsia="Times New Roman"/>
              </w:rPr>
              <w:t>catalog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2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28ACCEC0" w14:textId="77777777" w:rsidR="00F02C1E" w:rsidRDefault="00F02C1E">
            <w:pPr>
              <w:rPr>
                <w:rFonts w:eastAsia="Times New Roman"/>
              </w:rPr>
            </w:pPr>
            <w:proofErr w:type="spellStart"/>
            <w:r>
              <w:rPr>
                <w:rFonts w:eastAsia="Times New Roman"/>
              </w:rPr>
              <w:t>Catalog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single" w:sz="6" w:space="0" w:color="DED9D3"/>
              <w:bottom w:val="single" w:sz="2" w:space="0" w:color="DED9D3"/>
              <w:right w:val="outset" w:sz="6" w:space="0" w:color="auto"/>
            </w:tcBorders>
            <w:shd w:val="clear" w:color="auto" w:fill="auto"/>
            <w:noWrap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  <w:hideMark/>
          </w:tcPr>
          <w:p w14:paraId="08846DCD" w14:textId="77777777" w:rsidR="00F02C1E" w:rsidRDefault="00F02C1E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Retrieve a sorted, </w:t>
            </w:r>
            <w:proofErr w:type="spellStart"/>
            <w:r>
              <w:rPr>
                <w:rFonts w:eastAsia="Times New Roman"/>
              </w:rPr>
              <w:t>json</w:t>
            </w:r>
            <w:proofErr w:type="spellEnd"/>
            <w:r>
              <w:rPr>
                <w:rFonts w:eastAsia="Times New Roman"/>
              </w:rPr>
              <w:t xml:space="preserve"> list of repositories available in the registry.</w:t>
            </w:r>
          </w:p>
        </w:tc>
      </w:tr>
    </w:tbl>
    <w:p w14:paraId="32B356CE" w14:textId="77777777" w:rsidR="00F02C1E" w:rsidRDefault="00F02C1E" w:rsidP="00F02C1E">
      <w:pPr>
        <w:shd w:val="clear" w:color="auto" w:fill="FCFCFC"/>
        <w:rPr>
          <w:rFonts w:ascii="Helvetica Neue" w:eastAsia="Times New Roman" w:hAnsi="Helvetica Neue"/>
          <w:color w:val="333333"/>
        </w:rPr>
      </w:pPr>
    </w:p>
    <w:p w14:paraId="799E6AC2" w14:textId="77777777" w:rsidR="00F02C1E" w:rsidRDefault="00F02C1E">
      <w:pPr>
        <w:rPr>
          <w:rFonts w:hint="eastAsia"/>
        </w:rPr>
      </w:pPr>
    </w:p>
    <w:sectPr w:rsidR="00F02C1E" w:rsidSect="00E45110">
      <w:pgSz w:w="11900" w:h="16840"/>
      <w:pgMar w:top="1440" w:right="1800" w:bottom="1440" w:left="180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4A7"/>
    <w:rsid w:val="008E24A7"/>
    <w:rsid w:val="00981382"/>
    <w:rsid w:val="00BD04FE"/>
    <w:rsid w:val="00D96D9C"/>
    <w:rsid w:val="00E45110"/>
    <w:rsid w:val="00F02C1E"/>
    <w:rsid w:val="00F1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A0D8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E24A7"/>
    <w:pPr>
      <w:spacing w:after="120" w:line="259" w:lineRule="auto"/>
    </w:pPr>
    <w:rPr>
      <w:color w:val="595959" w:themeColor="text1" w:themeTint="A6"/>
      <w:sz w:val="30"/>
      <w:szCs w:val="3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1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4A7"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E24A7"/>
    <w:rPr>
      <w:rFonts w:asciiTheme="majorHAnsi" w:eastAsiaTheme="majorEastAsia" w:hAnsiTheme="majorHAnsi" w:cstheme="majorBidi"/>
      <w:b/>
      <w:color w:val="7F7F7F" w:themeColor="text1" w:themeTint="80"/>
      <w:sz w:val="30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98138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Revision">
    <w:name w:val="Revision"/>
    <w:hidden/>
    <w:uiPriority w:val="99"/>
    <w:semiHidden/>
    <w:rsid w:val="00981382"/>
    <w:rPr>
      <w:color w:val="595959" w:themeColor="text1" w:themeTint="A6"/>
      <w:sz w:val="30"/>
      <w:szCs w:val="3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1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8940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381</Words>
  <Characters>2176</Characters>
  <Application>Microsoft Macintosh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Nginx发布1.9.0版本，新增支持TCP代理和负载均衡的stream模块</vt:lpstr>
    </vt:vector>
  </TitlesOfParts>
  <LinksUpToDate>false</LinksUpToDate>
  <CharactersWithSpaces>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2017-09-15T08:01:00Z</dcterms:created>
  <dcterms:modified xsi:type="dcterms:W3CDTF">2017-09-25T04:41:00Z</dcterms:modified>
</cp:coreProperties>
</file>