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line="240"/>
        <w:jc w:val="center"/>
      </w:pPr>
      <w:r>
        <w:rPr>
          <w:rFonts w:ascii="Cambria" w:cs="Cambria" w:eastAsia="Cambria" w:hAnsi="Cambria"/>
          <w:b/>
          <w:bCs/>
          <w:sz w:val="40"/>
          <w:szCs w:val="40"/>
        </w:rPr>
        <w:t xml:space="preserve">TAO (TONY) JIN</w:t>
      </w:r>
    </w:p>
    <w:p>
      <w:pPr>
        <w:spacing w:after="20" w:line="240"/>
        <w:jc w:val="center"/>
      </w:pPr>
      <w:r>
        <w:rPr>
          <w:rFonts w:ascii="Cambria" w:cs="Cambria" w:eastAsia="Cambria" w:hAnsi="Cambria"/>
          <w:sz w:val="18"/>
          <w:szCs w:val="18"/>
        </w:rPr>
        <w:t xml:space="preserve">Ithaca, NY — open to Toronto, ON (hybrid) | 551-405-1324 | jtonyking@hotmail.com</w:t>
      </w:r>
    </w:p>
    <w:p>
      <w:pPr>
        <w:pBdr>
          <w:bottom w:val="single" w:color="000000" w:sz="4" w:space="6"/>
        </w:pBdr>
        <w:spacing w:after="0" w:line="240"/>
        <w:jc w:val="center"/>
      </w:pPr>
      <w:r>
        <w:rPr>
          <w:rFonts w:ascii="Cambria" w:cs="Cambria" w:eastAsia="Cambria" w:hAnsi="Cambria"/>
          <w:sz w:val="18"/>
          <w:szCs w:val="18"/>
        </w:rPr>
        <w:t xml:space="preserve">linkedin.com/in/tao-tony-jin-ab771426a</w:t>
      </w:r>
    </w:p>
    <w:p>
      <w:pPr>
        <w:spacing w:after="200" w:line="240"/>
      </w:pPr>
      <w:r>
        <w:rPr>
          <w:rFonts w:ascii="Cambria" w:cs="Cambria" w:eastAsia="Cambria" w:hAnsi="Cambria"/>
          <w:b w:val="false"/>
          <w:bCs w:val="false"/>
          <w:sz w:val="20"/>
          <w:szCs w:val="20"/>
        </w:rPr>
        <w:t xml:space="preserve">August 6, 2026</w:t>
      </w:r>
    </w:p>
    <w:p>
      <w:pPr>
        <w:spacing w:after="0" w:line="240"/>
      </w:pPr>
      <w:r>
        <w:rPr>
          <w:rFonts w:ascii="Cambria" w:cs="Cambria" w:eastAsia="Cambria" w:hAnsi="Cambria"/>
          <w:b w:val="false"/>
          <w:bCs w:val="false"/>
          <w:sz w:val="20"/>
          <w:szCs w:val="20"/>
        </w:rPr>
        <w:t xml:space="preserve">Edgecom Energy</w:t>
      </w:r>
    </w:p>
    <w:p>
      <w:pPr>
        <w:spacing w:after="0" w:line="240"/>
      </w:pPr>
      <w:r>
        <w:rPr>
          <w:rFonts w:ascii="Cambria" w:cs="Cambria" w:eastAsia="Cambria" w:hAnsi="Cambria"/>
          <w:b w:val="false"/>
          <w:bCs w:val="false"/>
          <w:sz w:val="20"/>
          <w:szCs w:val="20"/>
        </w:rPr>
        <w:t xml:space="preserve">5775 Yonge Street, Suite 1902</w:t>
      </w:r>
    </w:p>
    <w:p>
      <w:pPr>
        <w:spacing w:after="200" w:line="240"/>
      </w:pPr>
      <w:r>
        <w:rPr>
          <w:rFonts w:ascii="Cambria" w:cs="Cambria" w:eastAsia="Cambria" w:hAnsi="Cambria"/>
          <w:b w:val="false"/>
          <w:bCs w:val="false"/>
          <w:sz w:val="20"/>
          <w:szCs w:val="20"/>
        </w:rPr>
        <w:t xml:space="preserve">Toronto, ON M4T 1W1</w:t>
      </w:r>
    </w:p>
    <w:p>
      <w:pPr>
        <w:spacing w:after="200" w:line="24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Re: Energy Market Associate</w:t>
      </w:r>
    </w:p>
    <w:p>
      <w:pPr>
        <w:spacing w:after="160" w:line="240"/>
      </w:pPr>
      <w:r>
        <w:rPr>
          <w:rFonts w:ascii="Cambria" w:cs="Cambria" w:eastAsia="Cambria" w:hAnsi="Cambria"/>
          <w:b w:val="false"/>
          <w:bCs w:val="false"/>
          <w:sz w:val="20"/>
          <w:szCs w:val="20"/>
        </w:rPr>
        <w:t xml:space="preserve">Dear Edgecom Energy Hiring Team,</w:t>
      </w:r>
    </w:p>
    <w:p>
      <w:pPr>
        <w:spacing w:after="160" w:line="240"/>
      </w:pPr>
      <w:r>
        <w:rPr>
          <w:rFonts w:ascii="Cambria" w:cs="Cambria" w:eastAsia="Cambria" w:hAnsi="Cambria"/>
          <w:b w:val="false"/>
          <w:bCs w:val="false"/>
          <w:sz w:val="20"/>
          <w:szCs w:val="20"/>
        </w:rPr>
        <w:t xml:space="preserve">I’m applying for the Energy Market Associate role, and I’ll be direct about where I fit and where I don’t.</w:t>
      </w:r>
    </w:p>
    <w:p>
      <w:pPr>
        <w:spacing w:after="160" w:line="240"/>
      </w:pPr>
      <w:r>
        <w:rPr>
          <w:rFonts w:ascii="Cambria" w:cs="Cambria" w:eastAsia="Cambria" w:hAnsi="Cambria"/>
          <w:b w:val="false"/>
          <w:bCs w:val="false"/>
          <w:sz w:val="20"/>
          <w:szCs w:val="20"/>
        </w:rPr>
        <w:t xml:space="preserve">What I bring is the loop this job runs on: take operational data, find the trend and the root cause, turn it into a change in how the work actually gets done, then report the result to the people who depend on it. At Aifuku I analyzed data across five linked operational systems, root-caused the failures that were corrupting reporting, and built the fix — an automated pipeline that parsed source documents into structured records and verified them against the ledger, removing manual entry. At Sinolink Securities I standardized and documented the team’s data collection and reporting workflows, cutting duplicate entry and improving team efficiency by 8%. At Grow Investment Group I owned the analysis and the client-facing materials for an institutional program that ended with 9% fewer client redemptions, 4% more inquiries, and 12% higher conversion. In each case the analysis was only the first half; the deliverable was a changed process and a number that moved.</w:t>
      </w:r>
    </w:p>
    <w:p>
      <w:pPr>
        <w:spacing w:after="160" w:line="240"/>
      </w:pPr>
      <w:r>
        <w:rPr>
          <w:rFonts w:ascii="Cambria" w:cs="Cambria" w:eastAsia="Cambria" w:hAnsi="Cambria"/>
          <w:b w:val="false"/>
          <w:bCs w:val="false"/>
          <w:sz w:val="20"/>
          <w:szCs w:val="20"/>
        </w:rPr>
        <w:t xml:space="preserve">Where I don’t fit yet is the obvious one. I have not worked in the electricity sector and I have not run a Capacity Auction obligation. I won’t pretend that’s minor — availability, test events, dispatch notifications, and settlement verification each have failure modes you only learn by doing them. What I have done is work through the IESO’s Capacity Auction rules and DR participation materials so that I start in the market’s own vocabulary rather than from first principles. That is reading, not operating experience. But I’ve entered three domains cold — investment banking, asset management, and operations data — and in each the domain knowledge took weeks while the analytical work started immediately.</w:t>
      </w:r>
    </w:p>
    <w:p>
      <w:pPr>
        <w:spacing w:after="160" w:line="240"/>
      </w:pPr>
      <w:r>
        <w:rPr>
          <w:rFonts w:ascii="Cambria" w:cs="Cambria" w:eastAsia="Cambria" w:hAnsi="Cambria"/>
          <w:b w:val="false"/>
          <w:bCs w:val="false"/>
          <w:sz w:val="20"/>
          <w:szCs w:val="20"/>
        </w:rPr>
        <w:t xml:space="preserve">Two things also line up directly. The 5CP forecasting backup duty is time-series work; my forecasting project used seasonal ARIMA and Holt-Winters with explicit 95% prediction intervals, because a peak forecast without an uncertainty band isn’t actionable. And the preferred qualification you list — SQL, Python, or BI tools for reporting automation — is where I’m strongest, not where I’d be learning.</w:t>
      </w:r>
    </w:p>
    <w:p>
      <w:pPr>
        <w:spacing w:after="160" w:line="240"/>
      </w:pPr>
      <w:r>
        <w:rPr>
          <w:rFonts w:ascii="Cambria" w:cs="Cambria" w:eastAsia="Cambria" w:hAnsi="Cambria"/>
          <w:b w:val="false"/>
          <w:bCs w:val="false"/>
          <w:sz w:val="20"/>
          <w:szCs w:val="20"/>
        </w:rPr>
        <w:t xml:space="preserve">A small team where the analysis I do reaches customers and changes how the business runs is the environment I’m looking for. I’d welcome the chance to talk.</w:t>
      </w:r>
    </w:p>
    <w:p>
      <w:pPr>
        <w:spacing w:after="260" w:line="240"/>
      </w:pPr>
      <w:r>
        <w:rPr>
          <w:rFonts w:ascii="Cambria" w:cs="Cambria" w:eastAsia="Cambria" w:hAnsi="Cambria"/>
          <w:b w:val="false"/>
          <w:bCs w:val="false"/>
          <w:sz w:val="20"/>
          <w:szCs w:val="20"/>
        </w:rPr>
        <w:t xml:space="preserve">Sincerely,</w:t>
      </w:r>
    </w:p>
    <w:p>
      <w:pPr>
        <w:spacing w:after="0" w:line="24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Tao (Tony) Jin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0"/>
        <w:szCs w:val="20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Tao (Tony) Jin — Cover Letter</dc:title>
  <dc:creator>Tao (Tony) Jin</dc:creator>
  <cp:lastModifiedBy>Un-named</cp:lastModifiedBy>
  <cp:revision>1</cp:revision>
  <dcterms:created xsi:type="dcterms:W3CDTF">2026-08-06T22:34:26.989Z</dcterms:created>
  <dcterms:modified xsi:type="dcterms:W3CDTF">2026-08-06T22:34:26.989Z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