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Toronto, ON (hybrid)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Quantitative researcher with a Cornell M.Eng. in Systems Engineering and a UBC B.Sc. in Mathematics, and three internships inside asset management and capital markets — including quantitative market research at a Shanghai asset manager whose findings supported product positioning, business development, and client-facing thought leadership. Pairs sophisticated data analysis in SQL, Python, R, and Excel with the writing, visualization, and presentation needed to turn qualitative and quantitative sources into insights senior stakeholders act on. A natural communicator with a strong analytical foundation and genuine curiosity; bilingual in Mandarin and English.</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Statistical Inference &amp; Hypothesis Testing (sampling, estimation), Statistical Learning, Time Series Analysis, Stochastic Calculus, Optimization, Relational Databases.</w:t>
      </w:r>
    </w:p>
    <w:p>
      <w:pPr>
        <w:keepNext/>
        <w:pBdr>
          <w:bottom w:val="single" w:color="000000" w:sz="4" w:space="1"/>
        </w:pBdr>
        <w:spacing w:after="40" w:before="105" w:line="200"/>
      </w:pPr>
      <w:r>
        <w:rPr>
          <w:rFonts w:ascii="Cambria" w:cs="Cambria" w:eastAsia="Cambria" w:hAnsi="Cambria"/>
          <w:b/>
          <w:bCs/>
          <w:sz w:val="22"/>
          <w:szCs w:val="22"/>
        </w:rPr>
        <w:t xml:space="preserve">PROFESSIONAL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Built the reporting layer operations stakeholders relied on: wrote SQL (joins, CTEs, window functions) across a 9-table source-of-truth database, validated order, receipt, inventory, and ledger data, and maintained Metabase dashboards and KPI reports.</w:t>
      </w:r>
    </w:p>
    <w:p>
      <w:pPr>
        <w:keepLines/>
        <w:spacing w:after="14" w:line="200"/>
        <w:ind w:left="283" w:hanging="142"/>
      </w:pPr>
      <w:r>
        <w:rPr>
          <w:rFonts w:ascii="Cambria" w:cs="Cambria" w:eastAsia="Cambria" w:hAnsi="Cambria"/>
          <w:b w:val="false"/>
          <w:bCs w:val="false"/>
          <w:i w:val="false"/>
          <w:iCs w:val="false"/>
          <w:sz w:val="18"/>
          <w:szCs w:val="18"/>
        </w:rPr>
        <w:t xml:space="preserve">• Analyzed 5 linked data sets, independently root-caused data-quality issues, and presented findings and recommendations to non-technical stakeholders; automated a document-parsing pipeline that replaced manual data collection.</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for an asset manager’s institutional business, integrating macroeconomic indicators, interest rate trends, and market sentiment data, and authored written research reports that informed institutional investment and positioning decisions.</w:t>
      </w:r>
    </w:p>
    <w:p>
      <w:pPr>
        <w:keepLines/>
        <w:spacing w:after="14" w:line="200"/>
        <w:ind w:left="283" w:hanging="142"/>
      </w:pPr>
      <w:r>
        <w:rPr>
          <w:rFonts w:ascii="Cambria" w:cs="Cambria" w:eastAsia="Cambria" w:hAnsi="Cambria"/>
          <w:b w:val="false"/>
          <w:bCs w:val="false"/>
          <w:i w:val="false"/>
          <w:iCs w:val="false"/>
          <w:sz w:val="18"/>
          <w:szCs w:val="18"/>
        </w:rPr>
        <w:t xml:space="preserve">• Produced a convertible bond market downturn analysis and product education materials that translated research findings into a clear narrative for client-facing teams; the program contributed to 9% fewer client redemptions, 4% more inquiries, and 12% higher conversion.</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databases with Python automation and systematic validation to keep disclosures accurate, cutting manual data processing 15%.</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Researched pre-IPO issuers and calculated portfolio risk and performance metrics (Sharpe, Sortino, Beta, volatility, correlation), benchmarking against market indices and presenting results in reports for internal decision-makers.</w:t>
      </w:r>
    </w:p>
    <w:p>
      <w:pPr>
        <w:keepNext/>
        <w:pBdr>
          <w:bottom w:val="single" w:color="000000" w:sz="4" w:space="1"/>
        </w:pBdr>
        <w:spacing w:after="40" w:before="105" w:line="200"/>
      </w:pPr>
      <w:r>
        <w:rPr>
          <w:rFonts w:ascii="Cambria" w:cs="Cambria" w:eastAsia="Cambria" w:hAnsi="Cambria"/>
          <w:b/>
          <w:bCs/>
          <w:sz w:val="22"/>
          <w:szCs w:val="22"/>
        </w:rPr>
        <w:t xml:space="preserve">PROJECT EXPERIENCE</w:t>
      </w:r>
    </w:p>
    <w:p>
      <w:pPr>
        <w:keepNext/>
        <w:tabs>
          <w:tab w:val="right" w:pos="10920"/>
        </w:tabs>
        <w:spacing w:after="0" w:before="30" w:line="200"/>
      </w:pPr>
      <w:r>
        <w:rPr>
          <w:rFonts w:ascii="Cambria" w:cs="Cambria" w:eastAsia="Cambria" w:hAnsi="Cambria"/>
          <w:b/>
          <w:bCs/>
          <w:i w:val="false"/>
          <w:iCs w:val="false"/>
          <w:sz w:val="21"/>
          <w:szCs w:val="21"/>
        </w:rPr>
        <w:t xml:space="preserve">Marketplace Demand, Segmentation &amp; Satisfaction Research</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Analyzed 99,441 transactions to size demand and segment customers, quantifying a 3.0% repeat-purchase rate, a BRL 7.98M single-purchase segment, and an 8.1% late-delivery rate tied to materially weaker satisfaction ratings; synthesized findings into an executive scorecard with prioritized recommendations.</w:t>
      </w:r>
    </w:p>
    <w:p>
      <w:pPr>
        <w:keepNext/>
        <w:tabs>
          <w:tab w:val="right" w:pos="10920"/>
        </w:tabs>
        <w:spacing w:after="0" w:before="30" w:line="200"/>
      </w:pPr>
      <w:r>
        <w:rPr>
          <w:rFonts w:ascii="Cambria" w:cs="Cambria" w:eastAsia="Cambria" w:hAnsi="Cambria"/>
          <w:b/>
          <w:bCs/>
          <w:i w:val="false"/>
          <w:iCs w:val="false"/>
          <w:sz w:val="21"/>
          <w:szCs w:val="21"/>
        </w:rPr>
        <w:t xml:space="preserve">Secondary-Source Synthesis Pipeline (Kaggle)</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NLP, LLM APIs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Jan.–Mar. 2026</w:t>
      </w:r>
    </w:p>
    <w:p>
      <w:pPr>
        <w:keepLines/>
        <w:spacing w:after="14" w:line="200"/>
        <w:ind w:left="283" w:hanging="142"/>
      </w:pPr>
      <w:r>
        <w:rPr>
          <w:rFonts w:ascii="Cambria" w:cs="Cambria" w:eastAsia="Cambria" w:hAnsi="Cambria"/>
          <w:b w:val="false"/>
          <w:bCs w:val="false"/>
          <w:i w:val="false"/>
          <w:iCs w:val="false"/>
          <w:sz w:val="18"/>
          <w:szCs w:val="18"/>
        </w:rPr>
        <w:t xml:space="preserve">• Synthesized unstructured text from 107 publications into a structured 71-category dataset covering 1,659 records, benchmarking rule-based against LLM extraction and root-causing a 0.575 validation-test performance gap.</w:t>
      </w:r>
    </w:p>
    <w:p>
      <w:pPr>
        <w:keepNext/>
        <w:tabs>
          <w:tab w:val="right" w:pos="10920"/>
        </w:tabs>
        <w:spacing w:after="0" w:before="30" w:line="200"/>
      </w:pPr>
      <w:r>
        <w:rPr>
          <w:rFonts w:ascii="Cambria" w:cs="Cambria" w:eastAsia="Cambria" w:hAnsi="Cambria"/>
          <w:b/>
          <w:bCs/>
          <w:i w:val="false"/>
          <w:iCs w:val="false"/>
          <w:sz w:val="21"/>
          <w:szCs w:val="21"/>
        </w:rPr>
        <w:t xml:space="preserve">Predictive Modeling &amp; Model Validation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scikit-learn, XGBoost</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Sep.–Dec. 2025</w:t>
      </w:r>
    </w:p>
    <w:p>
      <w:pPr>
        <w:keepLines/>
        <w:spacing w:after="14" w:line="200"/>
        <w:ind w:left="283" w:hanging="142"/>
      </w:pPr>
      <w:r>
        <w:rPr>
          <w:rFonts w:ascii="Cambria" w:cs="Cambria" w:eastAsia="Cambria" w:hAnsi="Cambria"/>
          <w:b w:val="false"/>
          <w:bCs w:val="false"/>
          <w:i w:val="false"/>
          <w:iCs w:val="false"/>
          <w:sz w:val="18"/>
          <w:szCs w:val="18"/>
        </w:rPr>
        <w:t xml:space="preserve">• Benchmarked logistic regression, random forest, gradient boosting, and XGBoost over 101,766 records with cross-validation, then recalibrated and validated the selected model and ran driver attribution to explain the result.</w:t>
      </w:r>
    </w:p>
    <w:p>
      <w:pPr>
        <w:keepNext/>
        <w:pBdr>
          <w:bottom w:val="single" w:color="000000" w:sz="4" w:space="1"/>
        </w:pBdr>
        <w:spacing w:after="40" w:before="105" w:line="200"/>
      </w:pPr>
      <w:r>
        <w:rPr>
          <w:rFonts w:ascii="Cambria" w:cs="Cambria" w:eastAsia="Cambria" w:hAnsi="Cambria"/>
          <w:b/>
          <w:bCs/>
          <w:sz w:val="22"/>
          <w:szCs w:val="22"/>
        </w:rPr>
        <w:t xml:space="preserve">TECHNICAL SKILLS</w:t>
      </w:r>
    </w:p>
    <w:p>
      <w:pPr>
        <w:spacing w:after="14" w:line="200"/>
      </w:pPr>
      <w:r>
        <w:rPr>
          <w:rFonts w:ascii="Cambria" w:cs="Cambria" w:eastAsia="Cambria" w:hAnsi="Cambria"/>
          <w:b/>
          <w:bCs/>
          <w:sz w:val="18"/>
          <w:szCs w:val="18"/>
        </w:rPr>
        <w:t xml:space="preserve">Research Methods: </w:t>
      </w:r>
      <w:r>
        <w:rPr>
          <w:rFonts w:ascii="Cambria" w:cs="Cambria" w:eastAsia="Cambria" w:hAnsi="Cambria"/>
          <w:b w:val="false"/>
          <w:bCs w:val="false"/>
          <w:i w:val="false"/>
          <w:iCs w:val="false"/>
          <w:sz w:val="18"/>
          <w:szCs w:val="18"/>
        </w:rPr>
        <w:t xml:space="preserve">Quantitative and qualitative analysis, statistical sampling and inference, hypothesis testing, segmentation, demand analysis, cohort and retention analysis, satisfaction and rating data analysis, competitive and secondary research, trend and time series analysis, statistical modeling, regression</w:t>
      </w:r>
    </w:p>
    <w:p>
      <w:pPr>
        <w:spacing w:after="14" w:line="200"/>
      </w:pPr>
      <w:r>
        <w:rPr>
          <w:rFonts w:ascii="Cambria" w:cs="Cambria" w:eastAsia="Cambria" w:hAnsi="Cambria"/>
          <w:b/>
          <w:bCs/>
          <w:sz w:val="18"/>
          <w:szCs w:val="18"/>
        </w:rPr>
        <w:t xml:space="preserve">Analysis &amp; Presentation: </w:t>
      </w:r>
      <w:r>
        <w:rPr>
          <w:rFonts w:ascii="Cambria" w:cs="Cambria" w:eastAsia="Cambria" w:hAnsi="Cambria"/>
          <w:b w:val="false"/>
          <w:bCs w:val="false"/>
          <w:i w:val="false"/>
          <w:iCs w:val="false"/>
          <w:sz w:val="18"/>
          <w:szCs w:val="18"/>
        </w:rPr>
        <w:t xml:space="preserve">Microsoft Excel (pivot tables, lookups, dashboards), PowerPoint, Word, Tableau, Power BI, Metabase, data visualization, research reports, executive reporting, dashboards, data storytelling</w:t>
      </w:r>
    </w:p>
    <w:p>
      <w:pPr>
        <w:spacing w:after="14" w:line="200"/>
      </w:pPr>
      <w:r>
        <w:rPr>
          <w:rFonts w:ascii="Cambria" w:cs="Cambria" w:eastAsia="Cambria" w:hAnsi="Cambria"/>
          <w:b/>
          <w:bCs/>
          <w:sz w:val="18"/>
          <w:szCs w:val="18"/>
        </w:rPr>
        <w:t xml:space="preserve">Data &amp; Programming: </w:t>
      </w:r>
      <w:r>
        <w:rPr>
          <w:rFonts w:ascii="Cambria" w:cs="Cambria" w:eastAsia="Cambria" w:hAnsi="Cambria"/>
          <w:b w:val="false"/>
          <w:bCs w:val="false"/>
          <w:i w:val="false"/>
          <w:iCs w:val="false"/>
          <w:sz w:val="18"/>
          <w:szCs w:val="18"/>
        </w:rPr>
        <w:t xml:space="preserve">SQL (PostgreSQL, Oracle SQL, DuckDB — joins, CTEs, window functions, aggregation), Python (pandas, NumPy, scikit-learn), R, MATLAB; data collection, validation, and quality assurance; ETL pipelines; Git; Jupyter</w:t>
      </w:r>
    </w:p>
    <w:p>
      <w:pPr>
        <w:spacing w:after="14" w:line="200"/>
      </w:pPr>
      <w:r>
        <w:rPr>
          <w:rFonts w:ascii="Cambria" w:cs="Cambria" w:eastAsia="Cambria" w:hAnsi="Cambria"/>
          <w:b/>
          <w:bCs/>
          <w:sz w:val="18"/>
          <w:szCs w:val="18"/>
        </w:rPr>
        <w:t xml:space="preserve">Industry Knowledge: </w:t>
      </w:r>
      <w:r>
        <w:rPr>
          <w:rFonts w:ascii="Cambria" w:cs="Cambria" w:eastAsia="Cambria" w:hAnsi="Cambria"/>
          <w:b w:val="false"/>
          <w:bCs w:val="false"/>
          <w:i w:val="false"/>
          <w:iCs w:val="false"/>
          <w:sz w:val="18"/>
          <w:szCs w:val="18"/>
        </w:rPr>
        <w:t xml:space="preserve">Asset management and financial services, institutional client and sales support, macroeconomic and interest rate analysis, market sentiment, convertible bonds, due diligence questionnaires (DDQs), pre-IPO research</w:t>
      </w:r>
    </w:p>
    <w:p>
      <w:pPr>
        <w:spacing w:after="14" w:line="200"/>
      </w:pPr>
      <w:r>
        <w:rPr>
          <w:rFonts w:ascii="Cambria" w:cs="Cambria" w:eastAsia="Cambria" w:hAnsi="Cambria"/>
          <w:b/>
          <w:bCs/>
          <w:sz w:val="18"/>
          <w:szCs w:val="18"/>
        </w:rPr>
        <w:t xml:space="preserve">Business &amp; Communication: </w:t>
      </w:r>
      <w:r>
        <w:rPr>
          <w:rFonts w:ascii="Cambria" w:cs="Cambria" w:eastAsia="Cambria" w:hAnsi="Cambria"/>
          <w:b w:val="false"/>
          <w:bCs w:val="false"/>
          <w:i w:val="false"/>
          <w:iCs w:val="false"/>
          <w:sz w:val="18"/>
          <w:szCs w:val="18"/>
        </w:rPr>
        <w:t xml:space="preserve">Excellent written and oral communication; presenting to technical and non-technical stakeholders; translating analysis into actionable insights; strategic project scheduling and stakeholder management; curiosity; attention to detail; managing multiple priorities to deadline. Languages: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2026-08-06T22:40:15.850Z</dcterms:created>
  <dcterms:modified xsi:type="dcterms:W3CDTF">2026-08-06T22:40:15.850Z</dcterms:modified>
</cp:coreProperties>
</file>

<file path=docProps/custom.xml><?xml version="1.0" encoding="utf-8"?>
<Properties xmlns="http://schemas.openxmlformats.org/officeDocument/2006/custom-properties" xmlns:vt="http://schemas.openxmlformats.org/officeDocument/2006/docPropsVTypes"/>
</file>