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00"/>
        <w:jc w:val="center"/>
      </w:pPr>
      <w:r>
        <w:rPr>
          <w:rFonts w:ascii="Cambria" w:cs="Cambria" w:eastAsia="Cambria" w:hAnsi="Cambria"/>
          <w:b/>
          <w:bCs/>
          <w:sz w:val="40"/>
          <w:szCs w:val="40"/>
        </w:rPr>
        <w:t xml:space="preserve">TAO (TONY) JIN</w:t>
      </w:r>
    </w:p>
    <w:p>
      <w:pPr>
        <w:spacing w:after="0" w:line="200"/>
        <w:jc w:val="center"/>
      </w:pPr>
      <w:r>
        <w:rPr>
          <w:rFonts w:ascii="Cambria" w:cs="Cambria" w:eastAsia="Cambria" w:hAnsi="Cambria"/>
          <w:sz w:val="18"/>
          <w:szCs w:val="18"/>
        </w:rPr>
        <w:t xml:space="preserve">Ithaca, NY — open to Toronto, ON | 551-405-1324 | jtonyking@hotmail.com</w:t>
      </w:r>
    </w:p>
    <w:p>
      <w:pPr>
        <w:spacing w:after="0" w:line="200"/>
        <w:jc w:val="center"/>
      </w:pPr>
      <w:r>
        <w:rPr>
          <w:rFonts w:ascii="Cambria" w:cs="Cambria" w:eastAsia="Cambria" w:hAnsi="Cambria"/>
          <w:sz w:val="18"/>
          <w:szCs w:val="18"/>
        </w:rPr>
        <w:t xml:space="preserve">linkedin.com/in/tao-tony-jin-ab771426a | github.com/TonyKing0504</w:t>
      </w:r>
    </w:p>
    <w:p>
      <w:pPr>
        <w:keepNext/>
        <w:pBdr>
          <w:bottom w:val="single" w:color="000000" w:sz="4" w:space="1"/>
        </w:pBdr>
        <w:spacing w:after="40" w:before="105" w:line="200"/>
      </w:pPr>
      <w:r>
        <w:rPr>
          <w:rFonts w:ascii="Cambria" w:cs="Cambria" w:eastAsia="Cambria" w:hAnsi="Cambria"/>
          <w:b/>
          <w:bCs/>
          <w:sz w:val="22"/>
          <w:szCs w:val="22"/>
        </w:rPr>
        <w:t xml:space="preserve">PROFESSIONAL SUMMARY</w:t>
      </w:r>
    </w:p>
    <w:p>
      <w:pPr>
        <w:spacing w:after="0" w:line="200"/>
      </w:pPr>
      <w:r>
        <w:rPr>
          <w:rFonts w:ascii="Cambria" w:cs="Cambria" w:eastAsia="Cambria" w:hAnsi="Cambria"/>
          <w:b w:val="false"/>
          <w:bCs w:val="false"/>
          <w:i w:val="false"/>
          <w:iCs w:val="false"/>
          <w:sz w:val="18"/>
          <w:szCs w:val="18"/>
        </w:rPr>
        <w:t xml:space="preserve">Debt capital markets analyst candidate with investment banking and institutional sales internships at financial institutions — a securities firm and an asset manager — spanning debt and equity products, plus a Cornell M.Eng. in Systems Engineering and a UBC B.Sc. in Mathematics. Authored convertible bond market analysis and macroeconomic and interest rate research used by client-facing institutional teams; performed pre-IPO issuer due diligence across cash flow statements and balance sheets; built portfolio risk and performance analytics benchmarked to market indices. Strong Excel, PowerPoint, and Word for written client materials, with SQL and Python for market and transaction data. Fluent Mandarin and English.</w:t>
      </w:r>
    </w:p>
    <w:p>
      <w:pPr>
        <w:keepNext/>
        <w:pBdr>
          <w:bottom w:val="single" w:color="000000" w:sz="4" w:space="1"/>
        </w:pBdr>
        <w:spacing w:after="40" w:before="105" w:line="200"/>
      </w:pPr>
      <w:r>
        <w:rPr>
          <w:rFonts w:ascii="Cambria" w:cs="Cambria" w:eastAsia="Cambria" w:hAnsi="Cambria"/>
          <w:b/>
          <w:bCs/>
          <w:sz w:val="22"/>
          <w:szCs w:val="22"/>
        </w:rPr>
        <w:t xml:space="preserve">EDUCATION</w:t>
      </w:r>
    </w:p>
    <w:p>
      <w:pPr>
        <w:keepNext/>
        <w:tabs>
          <w:tab w:val="right" w:pos="10920"/>
        </w:tabs>
        <w:spacing w:after="0" w:before="30" w:line="200"/>
      </w:pPr>
      <w:r>
        <w:rPr>
          <w:rFonts w:ascii="Cambria" w:cs="Cambria" w:eastAsia="Cambria" w:hAnsi="Cambria"/>
          <w:b/>
          <w:bCs/>
          <w:i w:val="false"/>
          <w:iCs w:val="false"/>
          <w:sz w:val="21"/>
          <w:szCs w:val="21"/>
        </w:rPr>
        <w:t xml:space="preserve">Cornell University</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Ithaca, NY</w:t>
      </w:r>
    </w:p>
    <w:p>
      <w:pPr>
        <w:keepNext/>
        <w:tabs>
          <w:tab w:val="right" w:pos="10920"/>
        </w:tabs>
        <w:spacing w:after="0" w:before="0" w:line="200"/>
      </w:pPr>
      <w:r>
        <w:rPr>
          <w:rFonts w:ascii="Cambria" w:cs="Cambria" w:eastAsia="Cambria" w:hAnsi="Cambria"/>
          <w:b w:val="false"/>
          <w:bCs w:val="false"/>
          <w:i/>
          <w:iCs/>
          <w:sz w:val="21"/>
          <w:szCs w:val="21"/>
        </w:rPr>
        <w:t xml:space="preserve">Master of Engineering in Systems Engineering</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2025 – May 2026</w:t>
      </w:r>
    </w:p>
    <w:p>
      <w:pPr>
        <w:keepNext/>
        <w:tabs>
          <w:tab w:val="right" w:pos="10920"/>
        </w:tabs>
        <w:spacing w:after="0" w:before="30" w:line="200"/>
      </w:pPr>
      <w:r>
        <w:rPr>
          <w:rFonts w:ascii="Cambria" w:cs="Cambria" w:eastAsia="Cambria" w:hAnsi="Cambria"/>
          <w:b/>
          <w:bCs/>
          <w:i w:val="false"/>
          <w:iCs w:val="false"/>
          <w:sz w:val="21"/>
          <w:szCs w:val="21"/>
        </w:rPr>
        <w:t xml:space="preserve">University of British Columbia</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Vancouver, BC</w:t>
      </w:r>
    </w:p>
    <w:p>
      <w:pPr>
        <w:keepNext/>
        <w:tabs>
          <w:tab w:val="right" w:pos="10920"/>
        </w:tabs>
        <w:spacing w:after="0" w:before="0" w:line="200"/>
      </w:pPr>
      <w:r>
        <w:rPr>
          <w:rFonts w:ascii="Cambria" w:cs="Cambria" w:eastAsia="Cambria" w:hAnsi="Cambria"/>
          <w:b w:val="false"/>
          <w:bCs w:val="false"/>
          <w:i/>
          <w:iCs/>
          <w:sz w:val="21"/>
          <w:szCs w:val="21"/>
        </w:rPr>
        <w:t xml:space="preserve">Bachelor of Science: Major in Mathematics</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2021 – June 2025</w:t>
      </w:r>
    </w:p>
    <w:p>
      <w:pPr>
        <w:keepLines/>
        <w:spacing w:after="14" w:line="200"/>
        <w:ind w:left="283" w:hanging="142"/>
      </w:pPr>
      <w:r>
        <w:rPr>
          <w:rFonts w:ascii="Cambria" w:cs="Cambria" w:eastAsia="Cambria" w:hAnsi="Cambria"/>
          <w:b w:val="false"/>
          <w:bCs w:val="false"/>
          <w:i w:val="false"/>
          <w:iCs w:val="false"/>
          <w:sz w:val="18"/>
          <w:szCs w:val="18"/>
        </w:rPr>
        <w:t xml:space="preserve">• Relevant Coursework: Stochastic Calculus, Statistical Inference &amp; Hypothesis Testing, Time Series Analysis, Optimization, Linear Programming, Statistical Learning.</w:t>
      </w:r>
    </w:p>
    <w:p>
      <w:pPr>
        <w:keepNext/>
        <w:pBdr>
          <w:bottom w:val="single" w:color="000000" w:sz="4" w:space="1"/>
        </w:pBdr>
        <w:spacing w:after="40" w:before="105" w:line="200"/>
      </w:pPr>
      <w:r>
        <w:rPr>
          <w:rFonts w:ascii="Cambria" w:cs="Cambria" w:eastAsia="Cambria" w:hAnsi="Cambria"/>
          <w:b/>
          <w:bCs/>
          <w:sz w:val="22"/>
          <w:szCs w:val="22"/>
        </w:rPr>
        <w:t xml:space="preserve">CAPITAL MARKETS &amp; FINANCE EXPERIENCE</w:t>
      </w:r>
    </w:p>
    <w:p>
      <w:pPr>
        <w:keepNext/>
        <w:tabs>
          <w:tab w:val="right" w:pos="10920"/>
        </w:tabs>
        <w:spacing w:after="0" w:before="30" w:line="200"/>
      </w:pPr>
      <w:r>
        <w:rPr>
          <w:rFonts w:ascii="Cambria" w:cs="Cambria" w:eastAsia="Cambria" w:hAnsi="Cambria"/>
          <w:b/>
          <w:bCs/>
          <w:i w:val="false"/>
          <w:iCs w:val="false"/>
          <w:sz w:val="21"/>
          <w:szCs w:val="21"/>
        </w:rPr>
        <w:t xml:space="preserve">Grow Investment Group</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Institutional Sales Department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May 2024 – Aug. 2024</w:t>
      </w:r>
    </w:p>
    <w:p>
      <w:pPr>
        <w:keepLines/>
        <w:spacing w:after="14" w:line="200"/>
        <w:ind w:left="283" w:hanging="142"/>
      </w:pPr>
      <w:r>
        <w:rPr>
          <w:rFonts w:ascii="Cambria" w:cs="Cambria" w:eastAsia="Cambria" w:hAnsi="Cambria"/>
          <w:b w:val="false"/>
          <w:bCs w:val="false"/>
          <w:i w:val="false"/>
          <w:iCs w:val="false"/>
          <w:sz w:val="18"/>
          <w:szCs w:val="18"/>
        </w:rPr>
        <w:t xml:space="preserve">• Authored a convertible bond market downturn analysis and product education materials for client-facing institutional sales, laying out the market move and its implications in clear written form; the program contributed to 9% fewer client redemptions, 4% more inquiries, and 12% higher conversion.</w:t>
      </w:r>
    </w:p>
    <w:p>
      <w:pPr>
        <w:keepLines/>
        <w:spacing w:after="14" w:line="200"/>
        <w:ind w:left="283" w:hanging="142"/>
      </w:pPr>
      <w:r>
        <w:rPr>
          <w:rFonts w:ascii="Cambria" w:cs="Cambria" w:eastAsia="Cambria" w:hAnsi="Cambria"/>
          <w:b w:val="false"/>
          <w:bCs w:val="false"/>
          <w:i w:val="false"/>
          <w:iCs w:val="false"/>
          <w:sz w:val="18"/>
          <w:szCs w:val="18"/>
        </w:rPr>
        <w:t xml:space="preserve">• Conducted quantitative market research integrating macroeconomic indicators, interest rate trends, and market sentiment data, and delivered written research reports supporting institutional investment decisions.</w:t>
      </w:r>
    </w:p>
    <w:p>
      <w:pPr>
        <w:keepLines/>
        <w:spacing w:after="14" w:line="200"/>
        <w:ind w:left="283" w:hanging="142"/>
      </w:pPr>
      <w:r>
        <w:rPr>
          <w:rFonts w:ascii="Cambria" w:cs="Cambria" w:eastAsia="Cambria" w:hAnsi="Cambria"/>
          <w:b w:val="false"/>
          <w:bCs w:val="false"/>
          <w:i w:val="false"/>
          <w:iCs w:val="false"/>
          <w:sz w:val="18"/>
          <w:szCs w:val="18"/>
        </w:rPr>
        <w:t xml:space="preserve">• Completed institutional client due diligence questionnaires (DDQs), cross-referencing multi-source records with Python automation and systematic validation to keep disclosures accurate and timely, cutting manual processing 15%.</w:t>
      </w:r>
    </w:p>
    <w:p>
      <w:pPr>
        <w:keepNext/>
        <w:tabs>
          <w:tab w:val="right" w:pos="10920"/>
        </w:tabs>
        <w:spacing w:after="0" w:before="30" w:line="200"/>
      </w:pPr>
      <w:r>
        <w:rPr>
          <w:rFonts w:ascii="Cambria" w:cs="Cambria" w:eastAsia="Cambria" w:hAnsi="Cambria"/>
          <w:b/>
          <w:bCs/>
          <w:i w:val="false"/>
          <w:iCs w:val="false"/>
          <w:sz w:val="21"/>
          <w:szCs w:val="21"/>
        </w:rPr>
        <w:t xml:space="preserve">Sinolink Securities Co., Ltd.</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Investment Banking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June 2023 – Aug. 2023</w:t>
      </w:r>
    </w:p>
    <w:p>
      <w:pPr>
        <w:keepLines/>
        <w:spacing w:after="14" w:line="200"/>
        <w:ind w:left="283" w:hanging="142"/>
      </w:pPr>
      <w:r>
        <w:rPr>
          <w:rFonts w:ascii="Cambria" w:cs="Cambria" w:eastAsia="Cambria" w:hAnsi="Cambria"/>
          <w:b w:val="false"/>
          <w:bCs w:val="false"/>
          <w:i w:val="false"/>
          <w:iCs w:val="false"/>
          <w:sz w:val="18"/>
          <w:szCs w:val="18"/>
        </w:rPr>
        <w:t xml:space="preserve">• Performed pre-IPO financial due diligence for a Shanghai main-board issuer (planned raise ~RMB 460M), analyzing cash flow statements and balance sheets and reconciling multi-year bank statements against company ledgers to identify and escalate disclosure discrepancies.</w:t>
      </w:r>
    </w:p>
    <w:p>
      <w:pPr>
        <w:keepLines/>
        <w:spacing w:after="14" w:line="200"/>
        <w:ind w:left="283" w:hanging="142"/>
      </w:pPr>
      <w:r>
        <w:rPr>
          <w:rFonts w:ascii="Cambria" w:cs="Cambria" w:eastAsia="Cambria" w:hAnsi="Cambria"/>
          <w:b w:val="false"/>
          <w:bCs w:val="false"/>
          <w:i w:val="false"/>
          <w:iCs w:val="false"/>
          <w:sz w:val="18"/>
          <w:szCs w:val="18"/>
        </w:rPr>
        <w:t xml:space="preserve">• Calculated portfolio risk and performance metrics (Sharpe, Sortino, Beta, volatility, correlation) and benchmarked returns against market indices, presenting results in risk management reports for internal decision-makers.</w:t>
      </w:r>
    </w:p>
    <w:p>
      <w:pPr>
        <w:keepLines/>
        <w:spacing w:after="14" w:line="200"/>
        <w:ind w:left="283" w:hanging="142"/>
      </w:pPr>
      <w:r>
        <w:rPr>
          <w:rFonts w:ascii="Cambria" w:cs="Cambria" w:eastAsia="Cambria" w:hAnsi="Cambria"/>
          <w:b w:val="false"/>
          <w:bCs w:val="false"/>
          <w:i w:val="false"/>
          <w:iCs w:val="false"/>
          <w:sz w:val="18"/>
          <w:szCs w:val="18"/>
        </w:rPr>
        <w:t xml:space="preserve">• Standardized data collection, verification, and reporting workflows with senior analysts, keeping transaction records documented accurately and on deadline and improving team efficiency 8%.</w:t>
      </w:r>
    </w:p>
    <w:p>
      <w:pPr>
        <w:keepNext/>
        <w:pBdr>
          <w:bottom w:val="single" w:color="000000" w:sz="4" w:space="1"/>
        </w:pBdr>
        <w:spacing w:after="40" w:before="105" w:line="200"/>
      </w:pPr>
      <w:r>
        <w:rPr>
          <w:rFonts w:ascii="Cambria" w:cs="Cambria" w:eastAsia="Cambria" w:hAnsi="Cambria"/>
          <w:b/>
          <w:bCs/>
          <w:sz w:val="22"/>
          <w:szCs w:val="22"/>
        </w:rPr>
        <w:t xml:space="preserve">ADDITIONAL EXPERIENCE</w:t>
      </w:r>
    </w:p>
    <w:p>
      <w:pPr>
        <w:keepNext/>
        <w:tabs>
          <w:tab w:val="right" w:pos="10920"/>
        </w:tabs>
        <w:spacing w:after="0" w:before="30" w:line="200"/>
      </w:pPr>
      <w:r>
        <w:rPr>
          <w:rFonts w:ascii="Cambria" w:cs="Cambria" w:eastAsia="Cambria" w:hAnsi="Cambria"/>
          <w:b/>
          <w:bCs/>
          <w:i w:val="false"/>
          <w:iCs w:val="false"/>
          <w:sz w:val="21"/>
          <w:szCs w:val="21"/>
        </w:rPr>
        <w:t xml:space="preserve">Aifuku</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Toronto, ON</w:t>
      </w:r>
    </w:p>
    <w:p>
      <w:pPr>
        <w:keepNext/>
        <w:tabs>
          <w:tab w:val="right" w:pos="10920"/>
        </w:tabs>
        <w:spacing w:after="0" w:before="0" w:line="200"/>
      </w:pPr>
      <w:r>
        <w:rPr>
          <w:rFonts w:ascii="Cambria" w:cs="Cambria" w:eastAsia="Cambria" w:hAnsi="Cambria"/>
          <w:b w:val="false"/>
          <w:bCs w:val="false"/>
          <w:i/>
          <w:iCs/>
          <w:sz w:val="21"/>
          <w:szCs w:val="21"/>
        </w:rPr>
        <w:t xml:space="preserve">Data Science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Jan. 2025 – May 2025</w:t>
      </w:r>
    </w:p>
    <w:p>
      <w:pPr>
        <w:keepLines/>
        <w:spacing w:after="14" w:line="200"/>
        <w:ind w:left="283" w:hanging="142"/>
      </w:pPr>
      <w:r>
        <w:rPr>
          <w:rFonts w:ascii="Cambria" w:cs="Cambria" w:eastAsia="Cambria" w:hAnsi="Cambria"/>
          <w:b w:val="false"/>
          <w:bCs w:val="false"/>
          <w:i w:val="false"/>
          <w:iCs w:val="false"/>
          <w:sz w:val="18"/>
          <w:szCs w:val="18"/>
        </w:rPr>
        <w:t xml:space="preserve">• Automated reconciliation of bank and credit-card statements against the general ledger, building a pipeline that parsed statement documents into structured transaction records and replaced manual entry; wrote SQL across a 9-table database and maintained management dashboards and KPI reports for operations stakeholders.</w:t>
      </w:r>
    </w:p>
    <w:p>
      <w:pPr>
        <w:keepNext/>
        <w:pBdr>
          <w:bottom w:val="single" w:color="000000" w:sz="4" w:space="1"/>
        </w:pBdr>
        <w:spacing w:after="40" w:before="105" w:line="200"/>
      </w:pPr>
      <w:r>
        <w:rPr>
          <w:rFonts w:ascii="Cambria" w:cs="Cambria" w:eastAsia="Cambria" w:hAnsi="Cambria"/>
          <w:b/>
          <w:bCs/>
          <w:sz w:val="22"/>
          <w:szCs w:val="22"/>
        </w:rPr>
        <w:t xml:space="preserve">QUANTITATIVE PROJECTS</w:t>
      </w:r>
    </w:p>
    <w:p>
      <w:pPr>
        <w:keepNext/>
        <w:tabs>
          <w:tab w:val="right" w:pos="10920"/>
        </w:tabs>
        <w:spacing w:after="0" w:before="30" w:line="200"/>
      </w:pPr>
      <w:r>
        <w:rPr>
          <w:rFonts w:ascii="Cambria" w:cs="Cambria" w:eastAsia="Cambria" w:hAnsi="Cambria"/>
          <w:b/>
          <w:bCs/>
          <w:i w:val="false"/>
          <w:iCs w:val="false"/>
          <w:sz w:val="21"/>
          <w:szCs w:val="21"/>
        </w:rPr>
        <w:t xml:space="preserve">Time Series Forecasting &amp; Uncertainty Quantification</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R, SARIMA, Holt-Winters</w:t>
      </w:r>
      <w:r>
        <w:rPr>
          <w:rFonts w:ascii="Cambria" w:cs="Cambria" w:eastAsia="Cambria" w:hAnsi="Cambria"/>
          <w:sz w:val="21"/>
          <w:szCs w:val="21"/>
        </w:rPr>
        <w:tab/>
      </w:r>
    </w:p>
    <w:p>
      <w:pPr>
        <w:keepLines/>
        <w:spacing w:after="14" w:line="200"/>
        <w:ind w:left="283" w:hanging="142"/>
      </w:pPr>
      <w:r>
        <w:rPr>
          <w:rFonts w:ascii="Cambria" w:cs="Cambria" w:eastAsia="Cambria" w:hAnsi="Cambria"/>
          <w:b w:val="false"/>
          <w:bCs w:val="false"/>
          <w:i w:val="false"/>
          <w:iCs w:val="false"/>
          <w:sz w:val="18"/>
          <w:szCs w:val="18"/>
        </w:rPr>
        <w:t xml:space="preserve">• Built and validated seasonal ARIMA and Holt-Winters models, tuning by AIC and reporting 95% prediction intervals so stakeholders could read forecast uncertainty, not just the point estimate.</w:t>
      </w:r>
    </w:p>
    <w:p>
      <w:pPr>
        <w:keepNext/>
        <w:tabs>
          <w:tab w:val="right" w:pos="10920"/>
        </w:tabs>
        <w:spacing w:after="0" w:before="30" w:line="200"/>
      </w:pPr>
      <w:r>
        <w:rPr>
          <w:rFonts w:ascii="Cambria" w:cs="Cambria" w:eastAsia="Cambria" w:hAnsi="Cambria"/>
          <w:b/>
          <w:bCs/>
          <w:i w:val="false"/>
          <w:iCs w:val="false"/>
          <w:sz w:val="21"/>
          <w:szCs w:val="21"/>
        </w:rPr>
        <w:t xml:space="preserve">Demand &amp; Revenue Concentration Analysis</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SQL (DuckDB), Excel</w:t>
      </w:r>
      <w:r>
        <w:rPr>
          <w:rFonts w:ascii="Cambria" w:cs="Cambria" w:eastAsia="Cambria" w:hAnsi="Cambria"/>
          <w:sz w:val="21"/>
          <w:szCs w:val="21"/>
        </w:rPr>
        <w:tab/>
      </w:r>
    </w:p>
    <w:p>
      <w:pPr>
        <w:keepLines/>
        <w:spacing w:after="14" w:line="200"/>
        <w:ind w:left="283" w:hanging="142"/>
      </w:pPr>
      <w:r>
        <w:rPr>
          <w:rFonts w:ascii="Cambria" w:cs="Cambria" w:eastAsia="Cambria" w:hAnsi="Cambria"/>
          <w:b w:val="false"/>
          <w:bCs w:val="false"/>
          <w:i w:val="false"/>
          <w:iCs w:val="false"/>
          <w:sz w:val="18"/>
          <w:szCs w:val="18"/>
        </w:rPr>
        <w:t xml:space="preserve">• Analyzed 99,441 transactions in SQL to size demand and quantify revenue concentration — a BRL 7.98M single-purchase segment and a 3.0% repeat rate — plus an 8.1% service-failure rate tied to materially weaker satisfaction, delivered as an executive scorecard.</w:t>
      </w:r>
    </w:p>
    <w:p>
      <w:pPr>
        <w:keepNext/>
        <w:pBdr>
          <w:bottom w:val="single" w:color="000000" w:sz="4" w:space="1"/>
        </w:pBdr>
        <w:spacing w:after="40" w:before="105" w:line="200"/>
      </w:pPr>
      <w:r>
        <w:rPr>
          <w:rFonts w:ascii="Cambria" w:cs="Cambria" w:eastAsia="Cambria" w:hAnsi="Cambria"/>
          <w:b/>
          <w:bCs/>
          <w:sz w:val="22"/>
          <w:szCs w:val="22"/>
        </w:rPr>
        <w:t xml:space="preserve">SKILLS &amp; TECHNICAL</w:t>
      </w:r>
    </w:p>
    <w:p>
      <w:pPr>
        <w:spacing w:after="14" w:line="200"/>
      </w:pPr>
      <w:r>
        <w:rPr>
          <w:rFonts w:ascii="Cambria" w:cs="Cambria" w:eastAsia="Cambria" w:hAnsi="Cambria"/>
          <w:b/>
          <w:bCs/>
          <w:sz w:val="18"/>
          <w:szCs w:val="18"/>
        </w:rPr>
        <w:t xml:space="preserve">Capital Markets &amp; Finance: </w:t>
      </w:r>
      <w:r>
        <w:rPr>
          <w:rFonts w:ascii="Cambria" w:cs="Cambria" w:eastAsia="Cambria" w:hAnsi="Cambria"/>
          <w:b w:val="false"/>
          <w:bCs w:val="false"/>
          <w:i w:val="false"/>
          <w:iCs w:val="false"/>
          <w:sz w:val="18"/>
          <w:szCs w:val="18"/>
        </w:rPr>
        <w:t xml:space="preserve">Convertible bonds, fixed income and equity products, corporate finance, macroeconomic and interest rate analysis, market data, market sentiment, market and industry developments, financial statement analysis (cash flow, balance sheet) and accounting reconciliation, financial due diligence, pre-IPO issuer diligence, regulatory disclosure and due diligence questionnaires (DDQs), portfolio risk and performance metrics (Sharpe, Sortino, Beta, volatility, correlation), benchmarking to market indices</w:t>
      </w:r>
    </w:p>
    <w:p>
      <w:pPr>
        <w:spacing w:after="14" w:line="200"/>
      </w:pPr>
      <w:r>
        <w:rPr>
          <w:rFonts w:ascii="Cambria" w:cs="Cambria" w:eastAsia="Cambria" w:hAnsi="Cambria"/>
          <w:b/>
          <w:bCs/>
          <w:sz w:val="18"/>
          <w:szCs w:val="18"/>
        </w:rPr>
        <w:t xml:space="preserve">Software: </w:t>
      </w:r>
      <w:r>
        <w:rPr>
          <w:rFonts w:ascii="Cambria" w:cs="Cambria" w:eastAsia="Cambria" w:hAnsi="Cambria"/>
          <w:b w:val="false"/>
          <w:bCs w:val="false"/>
          <w:i w:val="false"/>
          <w:iCs w:val="false"/>
          <w:sz w:val="18"/>
          <w:szCs w:val="18"/>
        </w:rPr>
        <w:t xml:space="preserve">Microsoft Excel (pivot tables, lookups, modeling), PowerPoint, Word; SQL (PostgreSQL, Oracle SQL, DuckDB); Python (pandas, NumPy); R; MATLAB; Tableau; Power BI</w:t>
      </w:r>
    </w:p>
    <w:p>
      <w:pPr>
        <w:spacing w:after="14" w:line="200"/>
      </w:pPr>
      <w:r>
        <w:rPr>
          <w:rFonts w:ascii="Cambria" w:cs="Cambria" w:eastAsia="Cambria" w:hAnsi="Cambria"/>
          <w:b/>
          <w:bCs/>
          <w:sz w:val="18"/>
          <w:szCs w:val="18"/>
        </w:rPr>
        <w:t xml:space="preserve">Quantitative Methods: </w:t>
      </w:r>
      <w:r>
        <w:rPr>
          <w:rFonts w:ascii="Cambria" w:cs="Cambria" w:eastAsia="Cambria" w:hAnsi="Cambria"/>
          <w:b w:val="false"/>
          <w:bCs w:val="false"/>
          <w:i w:val="false"/>
          <w:iCs w:val="false"/>
          <w:sz w:val="18"/>
          <w:szCs w:val="18"/>
        </w:rPr>
        <w:t xml:space="preserve">Statistical inference and hypothesis testing, regression, time series analysis and forecasting (SARIMA, Holt-Winters), stochastic calculus, optimization and linear programming, statistical modeling, data validation and quality control</w:t>
      </w:r>
    </w:p>
    <w:p>
      <w:pPr>
        <w:spacing w:after="14" w:line="200"/>
      </w:pPr>
      <w:r>
        <w:rPr>
          <w:rFonts w:ascii="Cambria" w:cs="Cambria" w:eastAsia="Cambria" w:hAnsi="Cambria"/>
          <w:b/>
          <w:bCs/>
          <w:sz w:val="18"/>
          <w:szCs w:val="18"/>
        </w:rPr>
        <w:t xml:space="preserve">Professional: </w:t>
      </w:r>
      <w:r>
        <w:rPr>
          <w:rFonts w:ascii="Cambria" w:cs="Cambria" w:eastAsia="Cambria" w:hAnsi="Cambria"/>
          <w:b w:val="false"/>
          <w:bCs w:val="false"/>
          <w:i w:val="false"/>
          <w:iCs w:val="false"/>
          <w:sz w:val="18"/>
          <w:szCs w:val="18"/>
        </w:rPr>
        <w:t xml:space="preserve">Written and verbal communication; preparing written materials and client presentations for client-facing teams; accurate and timely documentation; attention to detail; managing multiple deadlines in a fast-paced environment; client and stakeholder support. Languages: Mandarin Chinese (Native), English (Professional), Japanese (Basic)</w:t>
      </w:r>
    </w:p>
    <w:sectPr>
      <w:pgSz w:w="12240" w:h="15840" w:orient="portrait"/>
      <w:pgMar w:top="500" w:right="660" w:bottom="500" w:left="6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18"/>
        <w:szCs w:val="18"/>
      </w:rPr>
    </w:rPrDefault>
    <w:pPrDefault>
      <w:pPr>
        <w:spacing w:line="2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Tao (Tony) Jin — Resume</dc:title>
  <dc:creator>Tao (Tony) Jin</dc:creator>
  <cp:lastModifiedBy>Un-named</cp:lastModifiedBy>
  <cp:revision>1</cp:revision>
  <dcterms:created xsi:type="dcterms:W3CDTF">2026-08-06T22:40:15.864Z</dcterms:created>
  <dcterms:modified xsi:type="dcterms:W3CDTF">2026-08-06T22:40:15.864Z</dcterms:modified>
</cp:coreProperties>
</file>

<file path=docProps/custom.xml><?xml version="1.0" encoding="utf-8"?>
<Properties xmlns="http://schemas.openxmlformats.org/officeDocument/2006/custom-properties" xmlns:vt="http://schemas.openxmlformats.org/officeDocument/2006/docPropsVTypes"/>
</file>