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00"/>
        <w:jc w:val="center"/>
      </w:pPr>
      <w:r>
        <w:rPr>
          <w:rFonts w:ascii="Cambria" w:cs="Cambria" w:eastAsia="Cambria" w:hAnsi="Cambria"/>
          <w:b/>
          <w:bCs/>
          <w:sz w:val="40"/>
          <w:szCs w:val="40"/>
        </w:rPr>
        <w:t xml:space="preserve">TAO (TONY) JIN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Ithaca, NY | 551-405-1324 | jtonyking@hotmail.com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linkedin.com/in/tao-tony-jin-ab771426a | github.com/TonyKing0504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Cornell University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Ithaca, NY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Master of Engineering in Systems Engineering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2025 – May 2026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University of British Columbia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Vancouver, BC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Bachelor of Science: Major in Mathematics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2021 – June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Relevant Coursework: Statistical Learning, Time Series Analysis, Statistical Inference &amp; Hypothesis Testing, Stochastic Calculus, Linear Programming, Algorithms, Relational Databases.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PROFESSIONAL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Aifuku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Toronto, ON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Data Science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 2025 – May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Wrote and optimized PostgreSQL queries (joins, CTEs, window functions) on a Postgres 15 source-of-truth database of 9 tables, validating order, receipt, inventory, and ledger data feeding Metabase business intelligence (BI) dashboards and KPI reporting; ran exploratory data analysis (EDA) and root cause analysis across 5 linked entities, presented findings and recommendations cross-functionally to non-technical stakeholders, lifting data quality and reporting accuracy.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and documented a Mage ETL pipeline pulling statement PDFs from Google Drive, parsed transaction fields with a Gemini Large Language Model (LLM) API and prompt engineering, and output structured JSON for ledger reconciliation, replacing manual data entry with reproducible automation.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Grow Investment Group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Institutional Sales Department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May 2024 – Aug. 2024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Python (pandas) automation scripts cross-referencing multi-source databases for institutional client due diligence and due diligence questionnaire (DDQ) completion, cutting manual data processing time 15% through systematic data validation.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Authored convertible bond downturn analysis, quantitative market research on macroeconomic, rate, and sentiment data, and product training materials, translating findings into data storytelling for non-technical audiences; drove 9% fewer redemptions, 4% more inquiries, 12% higher conversion.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Sinolink Securities Co., Ltd.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Investment Banking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June 2023 – Aug. 2023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Calculated portfolio risk KPIs (Sharpe, Sortino, Beta, volatility) and correlation analysis for stakeholder risk management reports; ran pre-IPO due diligence (~RMB 460M) with rigorous attention to detail and redesigned reporting workflows, improving team efficiency 8%.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Marketplace Retention &amp; Fulfillment Analytics (Olist)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SQL (DuckDB), Window Functions</w:t>
      </w:r>
      <w:r>
        <w:rPr>
          <w:rFonts w:ascii="Cambria" w:cs="Cambria" w:eastAsia="Cambria" w:hAnsi="Cambria"/>
          <w:sz w:val="21"/>
          <w:szCs w:val="21"/>
        </w:rPr>
        <w:tab/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reusable order-, customer-, and item-level SQL data marts from 99,441 orders, aggregating to order grain before joining to prevent double-counted revenue and protect KPI accuracy; ran cohort analysis, customer segmentation, and retention/churn analysis surfacing a 3.0% repeat-purchase rate, a BRL 7.98M one-time-buyer segment, and an 8.1% late-delivery rate tied to weaker reviews, delivered as an executive scorecard and dashboard.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Diabetes 30-Day Readmission Risk Modeling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scikit-learn, XGBoost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Sep.–Dec.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a 160-feature clinical dataset from 101,766 encounters across 130 U.S. hospitals with patient-level train-calibration-test splits preventing data leakage in a reproducible pipeline.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Benchmarked logistic regression, random forest, gradient boosting, and XGBoost with cross-validation and hyperparameter tuning for imbalanced classification (AUROC 0.668, AUPRC 0.230); cut Expected Calibration Error 0.342 to 0.004 by isotonic recalibration, added conformal prediction at 90.1% coverage, ran SHAP explainability and subgroup fairness/bias auditing.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LLM Metadata Extraction Pipeline (Kaggle)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NLP, LLM APIs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Jan.–Mar. 2026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 natural language processing (NLP) pipeline extracting structured SDRF metadata across a 71-category taxonomy from 107 publications and 1,659 records; root-caused a 0.575 validation-test gap and benchmarked regex versus LLM structured output via the PRIDE REST API.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TECHNICAL SKILLS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Programming: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Python (pandas, NumPy, scikit-learn, XGBoost, SHAP, Matplotlib), R, SQL (PostgreSQL, Oracle SQL, DuckDB), C++, MATLAB, Git version control, Jupyter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Analytics &amp; BI: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Tableau, Power BI, Excel (pivot tables), dashboard development, data visualization, KPI reporting, cohort analysis, segmentation, retention/churn analysis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Statistics &amp; ML: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Machine learning, statistical modeling, hypothesis testing, statistical significance, A/B testing/experimental design, causal inference, regression, predictive modeling, feature engineering, model evaluation (precision/recall), model calibration, explainability, fairness/bias auditing, time series forecasting (SARIMA, Holt-Winters), optimization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Data Engineering &amp; AI: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ETL/ELT pipelines (Mage), Apache Spark, Snowflake, data warehousing, data modeling, normalization, data quality, data cleaning, Natural Language Processing (NLP), Large Language Models (LLMs), LLM APIs, prompt engineering, REST APIs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Business &amp; Communication: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Stakeholder communication, cross-functional collaboration, requirements gathering, business acumen, presenting to technical/non-technical audiences, technical writing/documentation, data-driven decisions, working through ambiguity. Languages: Chinese (Native), English (Professional), Japanese (Basic)</w:t>
      </w:r>
    </w:p>
    <w:sectPr>
      <w:pgSz w:w="12240" w:h="15840" w:orient="portrait"/>
      <w:pgMar w:top="500" w:right="660" w:bottom="5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18"/>
        <w:szCs w:val="18"/>
      </w:rPr>
    </w:rPrDefault>
    <w:pPrDefault>
      <w:pPr>
        <w:spacing w:line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Tao (Tony) Jin — Resume</dc:title>
  <dc:creator>Tao (Tony) Jin</dc:creator>
  <cp:lastModifiedBy>Un-named</cp:lastModifiedBy>
  <cp:revision>1</cp:revision>
  <dcterms:created xsi:type="dcterms:W3CDTF">2026-08-06T03:41:20.999Z</dcterms:created>
  <dcterms:modified xsi:type="dcterms:W3CDTF">2026-08-06T03:41:20.999Z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