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0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TAO (TONY) JIN</w:t>
      </w:r>
    </w:p>
    <w:p>
      <w:pPr>
        <w:spacing w:after="0" w:line="20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Ithaca, NY | 551-405-1324 | jtonyking@hotmail.com</w:t>
      </w:r>
    </w:p>
    <w:p>
      <w:pPr>
        <w:spacing w:after="0" w:line="20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linkedin.com/in/tao-tony-jin-ab771426a | github.com/TonyKing0504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Cornell University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Ithaca, NY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Master of Engineering in Systems Engineering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Sep. 2025 – May 2026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University of British Columbia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Vancouver, BC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Bachelor of Science: Major in Mathematics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Sep. 2021 – June 2025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Relevant Coursework: Statistical Learning, Time Series Analysis, Statistical Inference &amp; Hypothesis Testing, Stochastic Calculus, Linear Programming, Algorithms, Relational Databases.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PROJECT EXPERIENCE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Diabetes 30-Day Readmission Risk Modeling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 | </w:t>
      </w: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Python, scikit-learn, XGBoost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Sep.–Dec. 2025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Engineered a 160-feature clinical dataset from 101,766 encounters across 130 U.S. hospitals with patient-level train-calibration-test splits preventing data leakage in a reproducible pipeline.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Benchmarked logistic regression, random forest, gradient boosting, and XGBoost with cross-validation and hyperparameter tuning for imbalanced classification (AUROC 0.668, AUPRC 0.230); cut Expected Calibration Error 0.342 to 0.004 by isotonic recalibration, added conformal prediction at 90.1% coverage, ran SHAP explainability and subgroup fairness/bias auditing.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LLM Metadata Extraction Pipeline (Kaggle)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 | </w:t>
      </w: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Python, NLP, LLM APIs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Jan.–Mar. 2026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Built a natural language processing (NLP) pipeline extracting structured SDRF metadata across a 71-category taxonomy from 107 publications and 1,659 records; root-caused a 0.575 validation-test gap and benchmarked regex versus LLM structured output via the PRIDE REST API.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Marketplace Retention &amp; Fulfillment Analytics (Olist)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 | </w:t>
      </w: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SQL (DuckDB), Window Functions</w:t>
      </w:r>
      <w:r>
        <w:rPr>
          <w:rFonts w:ascii="Cambria" w:cs="Cambria" w:eastAsia="Cambria" w:hAnsi="Cambria"/>
          <w:sz w:val="21"/>
          <w:szCs w:val="21"/>
        </w:rPr>
        <w:tab/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Built reusable order-, customer-, and item-level SQL data marts from 99,441 orders, aggregating to order grain before joining to prevent double-counted revenue and protect KPI accuracy; ran cohort analysis, customer segmentation, and retention/churn analysis surfacing a 3.0% repeat-purchase rate, a BRL 7.98M one-time-buyer segment, and an 8.1% late-delivery rate tied to weaker reviews, delivered as an executive scorecard and dashboard.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Aifuku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Toronto, ON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Data Science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Jan. 2025 – May 2025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Built and documented a Mage ETL pipeline pulling statement PDFs from Google Drive, parsed transaction fields with a Gemini Large Language Model (LLM) API and prompt engineering, and output structured JSON for ledger reconciliation, replacing manual data entry with reproducible automation.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Wrote and optimized PostgreSQL queries (joins, CTEs, window functions) on a Postgres 15 source-of-truth database of 9 tables, validating order, receipt, inventory, and ledger data feeding Metabase business intelligence (BI) dashboards and KPI reporting; ran exploratory data analysis (EDA) and root cause analysis across 5 linked entities, presented findings and recommendations cross-functionally to non-technical stakeholders, lifting data quality and reporting accuracy.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Grow Investment Group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Shanghai, China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Institutional Sales Department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May 2024 – Aug. 2024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Engineered Python (pandas) automation scripts cross-referencing multi-source databases for institutional client due diligence and due diligence questionnaire (DDQ) completion, cutting manual data processing time 15% through systematic data validation.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Authored convertible bond downturn analysis, quantitative market research on macroeconomic, rate, and sentiment data, and product training materials, translating findings into data storytelling for non-technical audiences; drove 9% fewer redemptions, 4% more inquiries, 12% higher conversion.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Sinolink Securities Co., Ltd.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Shanghai, China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Investment Banking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June 2023 – Aug. 2023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Calculated portfolio risk KPIs (Sharpe, Sortino, Beta, volatility) and correlation analysis for stakeholder risk management reports; ran pre-IPO due diligence (~RMB 460M) with rigorous attention to detail and redesigned reporting workflows, improving team efficiency 8%.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TECHNICAL SKILLS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Programming: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Python (pandas, NumPy, scikit-learn, XGBoost, SHAP, Matplotlib), R, SQL (PostgreSQL, Oracle SQL, DuckDB), C++, MATLAB, Git version control, Jupyter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Machine Learning &amp; Statistics: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Supervised learning, predictive modeling, regression, feature engineering, model evaluation (precision/recall), model calibration, explainability, fairness/bias auditing, statistical modeling, hypothesis testing, statistical significance, A/B testing/experimental design, causal inference, time series forecasting (SARIMA, Holt-Winters), optimization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Data Engineering &amp; AI: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ETL/ELT pipelines (Mage), Apache Spark, Snowflake, data warehousing, data modeling, normalization, data quality, data cleaning, Natural Language Processing (NLP), Large Language Models (LLMs), LLM APIs, prompt engineering, REST APIs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Analytics &amp; BI: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Tableau, Power BI, Excel (pivot tables), dashboard development, data visualization, KPI reporting, cohort analysis, segmentation, retention/churn analysis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Business &amp; Communication: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Stakeholder communication, cross-functional collaboration, requirements gathering, business acumen, presenting to technical/non-technical audiences, technical writing/documentation, data-driven decisions, working through ambiguity. Languages: Chinese (Native), English (Professional), Japanese (Basic)</w:t>
      </w:r>
    </w:p>
    <w:sectPr>
      <w:pgSz w:w="12240" w:h="15840" w:orient="portrait"/>
      <w:pgMar w:top="500" w:right="660" w:bottom="50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18"/>
        <w:szCs w:val="18"/>
      </w:rPr>
    </w:rPrDefault>
    <w:pPrDefault>
      <w:pPr>
        <w:spacing w:line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Tao (Tony) Jin — Resume</dc:title>
  <dc:creator>Tao (Tony) Jin</dc:creator>
  <cp:lastModifiedBy>Un-named</cp:lastModifiedBy>
  <cp:revision>1</cp:revision>
  <dcterms:created xsi:type="dcterms:W3CDTF">2026-08-03T15:51:02.154Z</dcterms:created>
  <dcterms:modified xsi:type="dcterms:W3CDTF">2026-08-03T15:51:02.154Z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