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line="200"/>
        <w:jc w:val="center"/>
      </w:pPr>
      <w:r>
        <w:rPr>
          <w:rFonts w:ascii="Cambria" w:cs="Cambria" w:eastAsia="Cambria" w:hAnsi="Cambria"/>
          <w:b/>
          <w:bCs/>
          <w:sz w:val="40"/>
          <w:szCs w:val="40"/>
        </w:rPr>
        <w:t xml:space="preserve">TAO (TONY) JIN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Ithaca, NY | 551-405-1324 | jtonyking@hotmail.com</w:t>
      </w:r>
    </w:p>
    <w:p>
      <w:pPr>
        <w:spacing w:after="0" w:line="200"/>
        <w:jc w:val="center"/>
      </w:pPr>
      <w:r>
        <w:rPr>
          <w:rFonts w:ascii="Cambria" w:cs="Cambria" w:eastAsia="Cambria" w:hAnsi="Cambria"/>
          <w:sz w:val="18"/>
          <w:szCs w:val="18"/>
        </w:rPr>
        <w:t xml:space="preserve">linkedin.com/in/tao-tony-jin-ab771426a | github.com/TonyKing0504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EDUCATION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Cornell University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Ithaca, NY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Master of Engineering in Systems Engineering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2025 – May 2026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University of British Columbia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Vancouver, BC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Bachelor of Science: Major in Mathematics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 2021 – June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Relevant Coursework: Statistical Learning, Time Series Analysis, Statistical Inference &amp; Hypothesis Testing, Stochastic Calculus, Linear Programming, Algorithms, Relational Databases.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PROJECT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Diabetes 30-Day Readmission Risk Modeling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scikit-learn, XGBoost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Sep.–Dec.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a 160-feature clinical dataset from 101,766 encounters across 130 U.S. hospitals with patient-level train-calibration-test splits preventing data leakage in a reproducible pipeline.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Benchmarked logistic regression, random forest, gradient boosting, and XGBoost with cross-validation and hyperparameter tuning for imbalanced classification (AUROC 0.668, AUPRC 0.230); cut Expected Calibration Error 0.342 to 0.004 by isotonic recalibration, added conformal prediction at 90.1% coverage, ran SHAP explainability and subgroup fairness/bias auditing.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LLM Metadata Extraction Pipeline (Kaggle)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Python, NLP, LLM APIs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Jan.–Mar. 2026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 natural language processing (NLP) pipeline extracting structured SDRF metadata across a 71-category taxonomy from 107 publications and 1,659 records; root-caused a 0.575 validation-test gap and benchmarked regex versus LLM structured output via the PRIDE REST API.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Marketplace Retention &amp; Fulfillment Analytics (Olist)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 | </w:t>
      </w: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SQL (DuckDB), Window Functions</w:t>
      </w:r>
      <w:r>
        <w:rPr>
          <w:rFonts w:ascii="Cambria" w:cs="Cambria" w:eastAsia="Cambria" w:hAnsi="Cambria"/>
          <w:sz w:val="21"/>
          <w:szCs w:val="21"/>
        </w:rPr>
        <w:tab/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reusable order-, customer-, and item-level SQL data marts from 99,441 orders, aggregating to order grain before joining to prevent double-counted revenue and protect KPI accuracy; ran cohort analysis, customer segmentation, and retention/churn analysis surfacing a 3.0% repeat-purchase rate, a BRL 7.98M one-time-buyer segment, and an 8.1% late-delivery rate tied to weaker reviews, delivered as an executive scorecard and dashboard.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PROFESSIONAL EXPERIENCE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Aifuku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Toronto, ON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Data Science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Jan. 2025 – May 2025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Built and documented a Mage ETL pipeline pulling statement PDFs from Google Drive, parsed transaction fields with a Gemini Large Language Model (LLM) API and prompt engineering, and output structured JSON for ledger reconciliation, replacing manual data entry with reproducible automation.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Wrote and optimized PostgreSQL queries (joins, CTEs, window functions) on a Postgres 15 source-of-truth database of 9 tables, validating order, receipt, inventory, and ledger data feeding Metabase business intelligence (BI) dashboards and KPI reporting; ran exploratory data analysis (EDA) and root cause analysis across 5 linked entities, presented findings and recommendations cross-functionally to non-technical stakeholders, lifting data quality and reporting accuracy.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Grow Investment Group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Institutional Sales Department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May 2024 – Aug. 2024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Engineered Python (pandas) automation scripts cross-referencing multi-source databases for institutional client due diligence and due diligence questionnaire (DDQ) completion, cutting manual data processing time 15% through systematic data validation.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Authored convertible bond downturn analysis, quantitative market research on macroeconomic, rate, and sentiment data, and product training materials, translating findings into data storytelling for non-technical audiences; drove 9% fewer redemptions, 4% more inquiries, 12% higher conversion.</w:t>
      </w:r>
    </w:p>
    <w:p>
      <w:pPr>
        <w:keepNext/>
        <w:tabs>
          <w:tab w:val="right" w:pos="10920"/>
        </w:tabs>
        <w:spacing w:after="0" w:before="30" w:line="200"/>
      </w:pPr>
      <w:r>
        <w:rPr>
          <w:rFonts w:ascii="Cambria" w:cs="Cambria" w:eastAsia="Cambria" w:hAnsi="Cambria"/>
          <w:b/>
          <w:bCs/>
          <w:i w:val="false"/>
          <w:iCs w:val="false"/>
          <w:sz w:val="21"/>
          <w:szCs w:val="21"/>
        </w:rPr>
        <w:t xml:space="preserve">Sinolink Securities Co., Ltd.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Shanghai, China</w:t>
      </w:r>
    </w:p>
    <w:p>
      <w:pPr>
        <w:keepNext/>
        <w:tabs>
          <w:tab w:val="right" w:pos="10920"/>
        </w:tabs>
        <w:spacing w:after="0" w:before="0" w:line="200"/>
      </w:pPr>
      <w:r>
        <w:rPr>
          <w:rFonts w:ascii="Cambria" w:cs="Cambria" w:eastAsia="Cambria" w:hAnsi="Cambria"/>
          <w:b w:val="false"/>
          <w:bCs w:val="false"/>
          <w:i/>
          <w:iCs/>
          <w:sz w:val="21"/>
          <w:szCs w:val="21"/>
        </w:rPr>
        <w:t xml:space="preserve">Investment Banking Intern</w:t>
      </w:r>
      <w:r>
        <w:rPr>
          <w:rFonts w:ascii="Cambria" w:cs="Cambria" w:eastAsia="Cambria" w:hAnsi="Cambria"/>
          <w:sz w:val="21"/>
          <w:szCs w:val="21"/>
        </w:rPr>
        <w:tab/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21"/>
          <w:szCs w:val="21"/>
        </w:rPr>
        <w:t xml:space="preserve">June 2023 – Aug. 2023</w:t>
      </w:r>
    </w:p>
    <w:p>
      <w:pPr>
        <w:keepLines/>
        <w:spacing w:after="14" w:line="200"/>
        <w:ind w:left="283" w:hanging="142"/>
      </w:pP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• Calculated portfolio risk KPIs (Sharpe, Sortino, Beta, volatility) and correlation analysis for stakeholder risk management reports; ran pre-IPO due diligence (~RMB 460M) with rigorous attention to detail and redesigned reporting workflows, improving team efficiency 8%.</w:t>
      </w:r>
    </w:p>
    <w:p>
      <w:pPr>
        <w:keepNext/>
        <w:pBdr>
          <w:bottom w:val="single" w:color="000000" w:sz="4" w:space="1"/>
        </w:pBdr>
        <w:spacing w:after="40" w:before="105" w:line="200"/>
      </w:pPr>
      <w:r>
        <w:rPr>
          <w:rFonts w:ascii="Cambria" w:cs="Cambria" w:eastAsia="Cambria" w:hAnsi="Cambria"/>
          <w:b/>
          <w:bCs/>
          <w:sz w:val="22"/>
          <w:szCs w:val="22"/>
        </w:rPr>
        <w:t xml:space="preserve">TECHNICAL SKILLS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Programming: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Python (pandas, NumPy, scikit-learn, XGBoost, SHAP, Matplotlib), R, SQL (PostgreSQL, Oracle SQL, DuckDB), C++, MATLAB, Git version control, Jupyter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Machine Learning &amp; Statistics: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Supervised learning, predictive modeling, regression, feature engineering, model evaluation (precision/recall), model calibration, explainability, fairness/bias auditing, statistical modeling, hypothesis testing, statistical significance, A/B testing/experimental design, causal inference, time series forecasting (SARIMA, Holt-Winters), optimization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Data Engineering &amp; AI: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ETL/ELT pipelines (Mage), Apache Spark, Snowflake, data warehousing, data modeling, normalization, data quality, data cleaning, Natural Language Processing (NLP), Large Language Models (LLMs), LLM APIs, prompt engineering, REST APIs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Analytics &amp; BI: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Tableau, Power BI, Excel (pivot tables), dashboard development, data visualization, KPI reporting, cohort analysis, segmentation, retention/churn analysis</w:t>
      </w:r>
    </w:p>
    <w:p>
      <w:pPr>
        <w:spacing w:after="14" w:line="200"/>
      </w:pPr>
      <w:r>
        <w:rPr>
          <w:rFonts w:ascii="Cambria" w:cs="Cambria" w:eastAsia="Cambria" w:hAnsi="Cambria"/>
          <w:b/>
          <w:bCs/>
          <w:sz w:val="18"/>
          <w:szCs w:val="18"/>
        </w:rPr>
        <w:t xml:space="preserve">Business &amp; Communication: </w:t>
      </w:r>
      <w:r>
        <w:rPr>
          <w:rFonts w:ascii="Cambria" w:cs="Cambria" w:eastAsia="Cambria" w:hAnsi="Cambria"/>
          <w:b w:val="false"/>
          <w:bCs w:val="false"/>
          <w:i w:val="false"/>
          <w:iCs w:val="false"/>
          <w:sz w:val="18"/>
          <w:szCs w:val="18"/>
        </w:rPr>
        <w:t xml:space="preserve">Stakeholder communication, cross-functional collaboration, requirements gathering, business acumen, presenting to technical/non-technical audiences, technical writing/documentation, data-driven decisions, working through ambiguity. Languages: Chinese (Native), English (Professional), Japanese (Basic)</w:t>
      </w:r>
    </w:p>
    <w:sectPr>
      <w:pgSz w:w="12240" w:h="15840" w:orient="portrait"/>
      <w:pgMar w:top="500" w:right="660" w:bottom="50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8"/>
        <w:szCs w:val="18"/>
      </w:rPr>
    </w:rPrDefault>
    <w:pPrDefault>
      <w:pPr>
        <w:spacing w:line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Tao (Tony) Jin — Resume</dc:title>
  <dc:creator>Tao (Tony) Jin</dc:creator>
  <cp:lastModifiedBy>Un-named</cp:lastModifiedBy>
  <cp:revision>1</cp:revision>
  <dcterms:created xsi:type="dcterms:W3CDTF">2026-08-05T19:01:39.704Z</dcterms:created>
  <dcterms:modified xsi:type="dcterms:W3CDTF">2026-08-05T19:01:39.704Z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