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00"/>
        <w:jc w:val="center"/>
      </w:pPr>
      <w:r>
        <w:rPr>
          <w:rFonts w:ascii="Cambria" w:cs="Cambria" w:eastAsia="Cambria" w:hAnsi="Cambria"/>
          <w:b/>
          <w:bCs/>
          <w:sz w:val="40"/>
          <w:szCs w:val="40"/>
        </w:rPr>
        <w:t xml:space="preserve">TAO (TONY) JIN</w:t>
      </w:r>
    </w:p>
    <w:p>
      <w:pPr>
        <w:spacing w:after="0" w:line="200"/>
        <w:jc w:val="center"/>
      </w:pPr>
      <w:r>
        <w:rPr>
          <w:rFonts w:ascii="Cambria" w:cs="Cambria" w:eastAsia="Cambria" w:hAnsi="Cambria"/>
          <w:sz w:val="18"/>
          <w:szCs w:val="18"/>
        </w:rPr>
        <w:t xml:space="preserve">Ithaca, NY — open to Toronto, ON (hybrid) | 551-405-1324 | jtonyking@hotmail.com</w:t>
      </w:r>
    </w:p>
    <w:p>
      <w:pPr>
        <w:spacing w:after="0" w:line="200"/>
        <w:jc w:val="center"/>
      </w:pPr>
      <w:r>
        <w:rPr>
          <w:rFonts w:ascii="Cambria" w:cs="Cambria" w:eastAsia="Cambria" w:hAnsi="Cambria"/>
          <w:sz w:val="18"/>
          <w:szCs w:val="18"/>
        </w:rPr>
        <w:t xml:space="preserve">linkedin.com/in/tao-tony-jin-ab771426a | github.com/TonyKing0504</w:t>
      </w:r>
    </w:p>
    <w:p>
      <w:pPr>
        <w:keepNext/>
        <w:pBdr>
          <w:bottom w:val="single" w:color="000000" w:sz="4" w:space="1"/>
        </w:pBdr>
        <w:spacing w:after="40" w:before="105" w:line="200"/>
      </w:pPr>
      <w:r>
        <w:rPr>
          <w:rFonts w:ascii="Cambria" w:cs="Cambria" w:eastAsia="Cambria" w:hAnsi="Cambria"/>
          <w:b/>
          <w:bCs/>
          <w:sz w:val="22"/>
          <w:szCs w:val="22"/>
        </w:rPr>
        <w:t xml:space="preserve">PROFESSIONAL SUMMARY</w:t>
      </w:r>
    </w:p>
    <w:p>
      <w:pPr>
        <w:spacing w:after="0" w:line="200"/>
      </w:pPr>
      <w:r>
        <w:rPr>
          <w:rFonts w:ascii="Cambria" w:cs="Cambria" w:eastAsia="Cambria" w:hAnsi="Cambria"/>
          <w:b w:val="false"/>
          <w:bCs w:val="false"/>
          <w:i w:val="false"/>
          <w:iCs w:val="false"/>
          <w:sz w:val="18"/>
          <w:szCs w:val="18"/>
        </w:rPr>
        <w:t xml:space="preserve">Quantitative researcher with a Cornell M.Eng. in Systems Engineering and a UBC B.Sc. in Mathematics, and three internships inside asset management and capital markets — including quantitative market research at a Shanghai asset manager whose findings supported product positioning, business development, and client-facing thought leadership. Pairs sophisticated data analysis in SQL, Python, R, and Excel with the writing, visualization, and presentation needed to turn qualitative and quantitative sources into insights senior stakeholders act on. A natural communicator with a strong analytical foundation and genuine curiosity; bilingual in Mandarin and English.</w:t>
      </w:r>
    </w:p>
    <w:p>
      <w:pPr>
        <w:keepNext/>
        <w:pBdr>
          <w:bottom w:val="single" w:color="000000" w:sz="4" w:space="1"/>
        </w:pBdr>
        <w:spacing w:after="40" w:before="105" w:line="200"/>
      </w:pPr>
      <w:r>
        <w:rPr>
          <w:rFonts w:ascii="Cambria" w:cs="Cambria" w:eastAsia="Cambria" w:hAnsi="Cambria"/>
          <w:b/>
          <w:bCs/>
          <w:sz w:val="22"/>
          <w:szCs w:val="22"/>
        </w:rPr>
        <w:t xml:space="preserve">EDUCATION</w:t>
      </w:r>
    </w:p>
    <w:p>
      <w:pPr>
        <w:keepNext/>
        <w:tabs>
          <w:tab w:val="right" w:pos="10920"/>
        </w:tabs>
        <w:spacing w:after="0" w:before="30" w:line="200"/>
      </w:pPr>
      <w:r>
        <w:rPr>
          <w:rFonts w:ascii="Cambria" w:cs="Cambria" w:eastAsia="Cambria" w:hAnsi="Cambria"/>
          <w:b/>
          <w:bCs/>
          <w:i w:val="false"/>
          <w:iCs w:val="false"/>
          <w:sz w:val="21"/>
          <w:szCs w:val="21"/>
        </w:rPr>
        <w:t xml:space="preserve">Cornell University</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Ithaca, NY</w:t>
      </w:r>
    </w:p>
    <w:p>
      <w:pPr>
        <w:keepNext/>
        <w:tabs>
          <w:tab w:val="right" w:pos="10920"/>
        </w:tabs>
        <w:spacing w:after="0" w:before="0" w:line="200"/>
      </w:pPr>
      <w:r>
        <w:rPr>
          <w:rFonts w:ascii="Cambria" w:cs="Cambria" w:eastAsia="Cambria" w:hAnsi="Cambria"/>
          <w:b w:val="false"/>
          <w:bCs w:val="false"/>
          <w:i/>
          <w:iCs/>
          <w:sz w:val="21"/>
          <w:szCs w:val="21"/>
        </w:rPr>
        <w:t xml:space="preserve">Master of Engineering in Systems Engineering</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2025 – May 2026</w:t>
      </w:r>
    </w:p>
    <w:p>
      <w:pPr>
        <w:keepNext/>
        <w:tabs>
          <w:tab w:val="right" w:pos="10920"/>
        </w:tabs>
        <w:spacing w:after="0" w:before="30" w:line="200"/>
      </w:pPr>
      <w:r>
        <w:rPr>
          <w:rFonts w:ascii="Cambria" w:cs="Cambria" w:eastAsia="Cambria" w:hAnsi="Cambria"/>
          <w:b/>
          <w:bCs/>
          <w:i w:val="false"/>
          <w:iCs w:val="false"/>
          <w:sz w:val="21"/>
          <w:szCs w:val="21"/>
        </w:rPr>
        <w:t xml:space="preserve">University of British Columbia</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Vancouver, BC</w:t>
      </w:r>
    </w:p>
    <w:p>
      <w:pPr>
        <w:keepNext/>
        <w:tabs>
          <w:tab w:val="right" w:pos="10920"/>
        </w:tabs>
        <w:spacing w:after="0" w:before="0" w:line="200"/>
      </w:pPr>
      <w:r>
        <w:rPr>
          <w:rFonts w:ascii="Cambria" w:cs="Cambria" w:eastAsia="Cambria" w:hAnsi="Cambria"/>
          <w:b w:val="false"/>
          <w:bCs w:val="false"/>
          <w:i/>
          <w:iCs/>
          <w:sz w:val="21"/>
          <w:szCs w:val="21"/>
        </w:rPr>
        <w:t xml:space="preserve">Bachelor of Science: Major in Mathematics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 2021 – June 2025</w:t>
      </w:r>
    </w:p>
    <w:p>
      <w:pPr>
        <w:keepLines/>
        <w:spacing w:after="14" w:line="200"/>
        <w:ind w:left="283" w:hanging="142"/>
      </w:pPr>
      <w:r>
        <w:rPr>
          <w:rFonts w:ascii="Cambria" w:cs="Cambria" w:eastAsia="Cambria" w:hAnsi="Cambria"/>
          <w:b w:val="false"/>
          <w:bCs w:val="false"/>
          <w:i w:val="false"/>
          <w:iCs w:val="false"/>
          <w:sz w:val="18"/>
          <w:szCs w:val="18"/>
        </w:rPr>
        <w:t xml:space="preserve">• Relevant Coursework: Statistical Inference &amp; Hypothesis Testing (sampling, estimation), Statistical Learning, Time Series Analysis, Stochastic Calculus, Optimization, Relational Databases.</w:t>
      </w:r>
    </w:p>
    <w:p>
      <w:pPr>
        <w:keepNext/>
        <w:pBdr>
          <w:bottom w:val="single" w:color="000000" w:sz="4" w:space="1"/>
        </w:pBdr>
        <w:spacing w:after="40" w:before="105" w:line="200"/>
      </w:pPr>
      <w:r>
        <w:rPr>
          <w:rFonts w:ascii="Cambria" w:cs="Cambria" w:eastAsia="Cambria" w:hAnsi="Cambria"/>
          <w:b/>
          <w:bCs/>
          <w:sz w:val="22"/>
          <w:szCs w:val="22"/>
        </w:rPr>
        <w:t xml:space="preserve">PROFESSIONAL EXPERIENCE</w:t>
      </w:r>
    </w:p>
    <w:p>
      <w:pPr>
        <w:keepNext/>
        <w:tabs>
          <w:tab w:val="right" w:pos="10920"/>
        </w:tabs>
        <w:spacing w:after="0" w:before="30" w:line="200"/>
      </w:pPr>
      <w:r>
        <w:rPr>
          <w:rFonts w:ascii="Cambria" w:cs="Cambria" w:eastAsia="Cambria" w:hAnsi="Cambria"/>
          <w:b/>
          <w:bCs/>
          <w:i w:val="false"/>
          <w:iCs w:val="false"/>
          <w:sz w:val="21"/>
          <w:szCs w:val="21"/>
        </w:rPr>
        <w:t xml:space="preserve">Aifuku</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Toronto, ON</w:t>
      </w:r>
    </w:p>
    <w:p>
      <w:pPr>
        <w:keepNext/>
        <w:tabs>
          <w:tab w:val="right" w:pos="10920"/>
        </w:tabs>
        <w:spacing w:after="0" w:before="0" w:line="200"/>
      </w:pPr>
      <w:r>
        <w:rPr>
          <w:rFonts w:ascii="Cambria" w:cs="Cambria" w:eastAsia="Cambria" w:hAnsi="Cambria"/>
          <w:b w:val="false"/>
          <w:bCs w:val="false"/>
          <w:i/>
          <w:iCs/>
          <w:sz w:val="21"/>
          <w:szCs w:val="21"/>
        </w:rPr>
        <w:t xml:space="preserve">Data Science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 2025 – May 2025</w:t>
      </w:r>
    </w:p>
    <w:p>
      <w:pPr>
        <w:keepLines/>
        <w:spacing w:after="14" w:line="200"/>
        <w:ind w:left="283" w:hanging="142"/>
      </w:pPr>
      <w:r>
        <w:rPr>
          <w:rFonts w:ascii="Cambria" w:cs="Cambria" w:eastAsia="Cambria" w:hAnsi="Cambria"/>
          <w:b w:val="false"/>
          <w:bCs w:val="false"/>
          <w:i w:val="false"/>
          <w:iCs w:val="false"/>
          <w:sz w:val="18"/>
          <w:szCs w:val="18"/>
        </w:rPr>
        <w:t xml:space="preserve">• Built the reporting layer operations stakeholders relied on: wrote SQL (joins, CTEs, window functions) across a 9-table source-of-truth database, validated order, receipt, inventory, and ledger data, and maintained Metabase dashboards and KPI reports.</w:t>
      </w:r>
    </w:p>
    <w:p>
      <w:pPr>
        <w:keepLines/>
        <w:spacing w:after="14" w:line="200"/>
        <w:ind w:left="283" w:hanging="142"/>
      </w:pPr>
      <w:r>
        <w:rPr>
          <w:rFonts w:ascii="Cambria" w:cs="Cambria" w:eastAsia="Cambria" w:hAnsi="Cambria"/>
          <w:b w:val="false"/>
          <w:bCs w:val="false"/>
          <w:i w:val="false"/>
          <w:iCs w:val="false"/>
          <w:sz w:val="18"/>
          <w:szCs w:val="18"/>
        </w:rPr>
        <w:t xml:space="preserve">• Analyzed 5 linked data sets, independently root-caused data-quality issues, and presented findings and recommendations to non-technical stakeholders; automated a document-parsing pipeline that replaced manual data collection.</w:t>
      </w:r>
    </w:p>
    <w:p>
      <w:pPr>
        <w:keepNext/>
        <w:tabs>
          <w:tab w:val="right" w:pos="10920"/>
        </w:tabs>
        <w:spacing w:after="0" w:before="30" w:line="200"/>
      </w:pPr>
      <w:r>
        <w:rPr>
          <w:rFonts w:ascii="Cambria" w:cs="Cambria" w:eastAsia="Cambria" w:hAnsi="Cambria"/>
          <w:b/>
          <w:bCs/>
          <w:i w:val="false"/>
          <w:iCs w:val="false"/>
          <w:sz w:val="21"/>
          <w:szCs w:val="21"/>
        </w:rPr>
        <w:t xml:space="preserve">Grow Investment Group</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Institutional Sales Department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May 2024 – Aug. 2024</w:t>
      </w:r>
    </w:p>
    <w:p>
      <w:pPr>
        <w:keepLines/>
        <w:spacing w:after="14" w:line="200"/>
        <w:ind w:left="283" w:hanging="142"/>
      </w:pPr>
      <w:r>
        <w:rPr>
          <w:rFonts w:ascii="Cambria" w:cs="Cambria" w:eastAsia="Cambria" w:hAnsi="Cambria"/>
          <w:b w:val="false"/>
          <w:bCs w:val="false"/>
          <w:i w:val="false"/>
          <w:iCs w:val="false"/>
          <w:sz w:val="18"/>
          <w:szCs w:val="18"/>
        </w:rPr>
        <w:t xml:space="preserve">• Conducted quantitative market research for an asset manager’s institutional business, integrating macroeconomic indicators, interest rate trends, and market sentiment data, and authored written research reports that informed institutional investment and positioning decisions.</w:t>
      </w:r>
    </w:p>
    <w:p>
      <w:pPr>
        <w:keepLines/>
        <w:spacing w:after="14" w:line="200"/>
        <w:ind w:left="283" w:hanging="142"/>
      </w:pPr>
      <w:r>
        <w:rPr>
          <w:rFonts w:ascii="Cambria" w:cs="Cambria" w:eastAsia="Cambria" w:hAnsi="Cambria"/>
          <w:b w:val="false"/>
          <w:bCs w:val="false"/>
          <w:i w:val="false"/>
          <w:iCs w:val="false"/>
          <w:sz w:val="18"/>
          <w:szCs w:val="18"/>
        </w:rPr>
        <w:t xml:space="preserve">• Produced a convertible bond market downturn analysis and product education materials that translated research findings into a clear narrative for client-facing teams; the program contributed to 9% fewer client redemptions, 4% more inquiries, and 12% higher conversion.</w:t>
      </w:r>
    </w:p>
    <w:p>
      <w:pPr>
        <w:keepLines/>
        <w:spacing w:after="14" w:line="200"/>
        <w:ind w:left="283" w:hanging="142"/>
      </w:pPr>
      <w:r>
        <w:rPr>
          <w:rFonts w:ascii="Cambria" w:cs="Cambria" w:eastAsia="Cambria" w:hAnsi="Cambria"/>
          <w:b w:val="false"/>
          <w:bCs w:val="false"/>
          <w:i w:val="false"/>
          <w:iCs w:val="false"/>
          <w:sz w:val="18"/>
          <w:szCs w:val="18"/>
        </w:rPr>
        <w:t xml:space="preserve">• Completed institutional client due diligence questionnaires (DDQs), cross-referencing multi-source databases with Python automation and systematic validation to keep disclosures accurate, cutting manual data processing 15%.</w:t>
      </w:r>
    </w:p>
    <w:p>
      <w:pPr>
        <w:keepNext/>
        <w:tabs>
          <w:tab w:val="right" w:pos="10920"/>
        </w:tabs>
        <w:spacing w:after="0" w:before="30" w:line="200"/>
      </w:pPr>
      <w:r>
        <w:rPr>
          <w:rFonts w:ascii="Cambria" w:cs="Cambria" w:eastAsia="Cambria" w:hAnsi="Cambria"/>
          <w:b/>
          <w:bCs/>
          <w:i w:val="false"/>
          <w:iCs w:val="false"/>
          <w:sz w:val="21"/>
          <w:szCs w:val="21"/>
        </w:rPr>
        <w:t xml:space="preserve">Sinolink Securities Co., Ltd.</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Shanghai, China</w:t>
      </w:r>
    </w:p>
    <w:p>
      <w:pPr>
        <w:keepNext/>
        <w:tabs>
          <w:tab w:val="right" w:pos="10920"/>
        </w:tabs>
        <w:spacing w:after="0" w:before="0" w:line="200"/>
      </w:pPr>
      <w:r>
        <w:rPr>
          <w:rFonts w:ascii="Cambria" w:cs="Cambria" w:eastAsia="Cambria" w:hAnsi="Cambria"/>
          <w:b w:val="false"/>
          <w:bCs w:val="false"/>
          <w:i/>
          <w:iCs/>
          <w:sz w:val="21"/>
          <w:szCs w:val="21"/>
        </w:rPr>
        <w:t xml:space="preserve">Investment Banking Intern</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June 2023 – Aug. 2023</w:t>
      </w:r>
    </w:p>
    <w:p>
      <w:pPr>
        <w:keepLines/>
        <w:spacing w:after="14" w:line="200"/>
        <w:ind w:left="283" w:hanging="142"/>
      </w:pPr>
      <w:r>
        <w:rPr>
          <w:rFonts w:ascii="Cambria" w:cs="Cambria" w:eastAsia="Cambria" w:hAnsi="Cambria"/>
          <w:b w:val="false"/>
          <w:bCs w:val="false"/>
          <w:i w:val="false"/>
          <w:iCs w:val="false"/>
          <w:sz w:val="18"/>
          <w:szCs w:val="18"/>
        </w:rPr>
        <w:t xml:space="preserve">• Researched pre-IPO issuers and calculated portfolio risk and performance metrics (Sharpe, Sortino, Beta, volatility, correlation), benchmarking against market indices and presenting results in reports for internal decision-makers.</w:t>
      </w:r>
    </w:p>
    <w:p>
      <w:pPr>
        <w:keepNext/>
        <w:pBdr>
          <w:bottom w:val="single" w:color="000000" w:sz="4" w:space="1"/>
        </w:pBdr>
        <w:spacing w:after="40" w:before="105" w:line="200"/>
      </w:pPr>
      <w:r>
        <w:rPr>
          <w:rFonts w:ascii="Cambria" w:cs="Cambria" w:eastAsia="Cambria" w:hAnsi="Cambria"/>
          <w:b/>
          <w:bCs/>
          <w:sz w:val="22"/>
          <w:szCs w:val="22"/>
        </w:rPr>
        <w:t xml:space="preserve">PROJECT EXPERIENCE</w:t>
      </w:r>
    </w:p>
    <w:p>
      <w:pPr>
        <w:keepNext/>
        <w:tabs>
          <w:tab w:val="right" w:pos="10920"/>
        </w:tabs>
        <w:spacing w:after="0" w:before="30" w:line="200"/>
      </w:pPr>
      <w:r>
        <w:rPr>
          <w:rFonts w:ascii="Cambria" w:cs="Cambria" w:eastAsia="Cambria" w:hAnsi="Cambria"/>
          <w:b/>
          <w:bCs/>
          <w:i w:val="false"/>
          <w:iCs w:val="false"/>
          <w:sz w:val="21"/>
          <w:szCs w:val="21"/>
        </w:rPr>
        <w:t xml:space="preserve">Marketplace Demand, Segmentation &amp; Satisfaction Research</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SQL (DuckDB), Excel</w:t>
      </w:r>
      <w:r>
        <w:rPr>
          <w:rFonts w:ascii="Cambria" w:cs="Cambria" w:eastAsia="Cambria" w:hAnsi="Cambria"/>
          <w:sz w:val="21"/>
          <w:szCs w:val="21"/>
        </w:rPr>
        <w:tab/>
      </w:r>
    </w:p>
    <w:p>
      <w:pPr>
        <w:keepLines/>
        <w:spacing w:after="14" w:line="200"/>
        <w:ind w:left="283" w:hanging="142"/>
      </w:pPr>
      <w:r>
        <w:rPr>
          <w:rFonts w:ascii="Cambria" w:cs="Cambria" w:eastAsia="Cambria" w:hAnsi="Cambria"/>
          <w:b w:val="false"/>
          <w:bCs w:val="false"/>
          <w:i w:val="false"/>
          <w:iCs w:val="false"/>
          <w:sz w:val="18"/>
          <w:szCs w:val="18"/>
        </w:rPr>
        <w:t xml:space="preserve">• Analyzed 99,441 transactions to size demand and segment customers, quantifying a 3.0% repeat-purchase rate, a BRL 7.98M single-purchase segment, and an 8.1% late-delivery rate tied to materially weaker satisfaction ratings; synthesized findings into an executive scorecard with prioritized recommendations.</w:t>
      </w:r>
    </w:p>
    <w:p>
      <w:pPr>
        <w:keepNext/>
        <w:tabs>
          <w:tab w:val="right" w:pos="10920"/>
        </w:tabs>
        <w:spacing w:after="0" w:before="30" w:line="200"/>
      </w:pPr>
      <w:r>
        <w:rPr>
          <w:rFonts w:ascii="Cambria" w:cs="Cambria" w:eastAsia="Cambria" w:hAnsi="Cambria"/>
          <w:b/>
          <w:bCs/>
          <w:i w:val="false"/>
          <w:iCs w:val="false"/>
          <w:sz w:val="21"/>
          <w:szCs w:val="21"/>
        </w:rPr>
        <w:t xml:space="preserve">Secondary-Source Synthesis Pipeline (Kaggle)</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Python, NLP, LLM APIs</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Jan.–Mar. 2026</w:t>
      </w:r>
    </w:p>
    <w:p>
      <w:pPr>
        <w:keepLines/>
        <w:spacing w:after="14" w:line="200"/>
        <w:ind w:left="283" w:hanging="142"/>
      </w:pPr>
      <w:r>
        <w:rPr>
          <w:rFonts w:ascii="Cambria" w:cs="Cambria" w:eastAsia="Cambria" w:hAnsi="Cambria"/>
          <w:b w:val="false"/>
          <w:bCs w:val="false"/>
          <w:i w:val="false"/>
          <w:iCs w:val="false"/>
          <w:sz w:val="18"/>
          <w:szCs w:val="18"/>
        </w:rPr>
        <w:t xml:space="preserve">• Synthesized unstructured text from 107 publications into a structured 71-category dataset covering 1,659 records, benchmarking rule-based against LLM extraction and root-causing a 0.575 validation-test performance gap.</w:t>
      </w:r>
    </w:p>
    <w:p>
      <w:pPr>
        <w:keepNext/>
        <w:tabs>
          <w:tab w:val="right" w:pos="10920"/>
        </w:tabs>
        <w:spacing w:after="0" w:before="30" w:line="200"/>
      </w:pPr>
      <w:r>
        <w:rPr>
          <w:rFonts w:ascii="Cambria" w:cs="Cambria" w:eastAsia="Cambria" w:hAnsi="Cambria"/>
          <w:b/>
          <w:bCs/>
          <w:i w:val="false"/>
          <w:iCs w:val="false"/>
          <w:sz w:val="21"/>
          <w:szCs w:val="21"/>
        </w:rPr>
        <w:t xml:space="preserve">Predictive Modeling &amp; Model Validation</w:t>
      </w:r>
      <w:r>
        <w:rPr>
          <w:rFonts w:ascii="Cambria" w:cs="Cambria" w:eastAsia="Cambria" w:hAnsi="Cambria"/>
          <w:b w:val="false"/>
          <w:bCs w:val="false"/>
          <w:i w:val="false"/>
          <w:iCs w:val="false"/>
          <w:sz w:val="21"/>
          <w:szCs w:val="21"/>
        </w:rPr>
        <w:t xml:space="preserve"> | </w:t>
      </w:r>
      <w:r>
        <w:rPr>
          <w:rFonts w:ascii="Cambria" w:cs="Cambria" w:eastAsia="Cambria" w:hAnsi="Cambria"/>
          <w:b w:val="false"/>
          <w:bCs w:val="false"/>
          <w:i/>
          <w:iCs/>
          <w:sz w:val="21"/>
          <w:szCs w:val="21"/>
        </w:rPr>
        <w:t xml:space="preserve">Python, scikit-learn, XGBoost</w:t>
      </w:r>
      <w:r>
        <w:rPr>
          <w:rFonts w:ascii="Cambria" w:cs="Cambria" w:eastAsia="Cambria" w:hAnsi="Cambria"/>
          <w:sz w:val="21"/>
          <w:szCs w:val="21"/>
        </w:rPr>
        <w:tab/>
      </w:r>
      <w:r>
        <w:rPr>
          <w:rFonts w:ascii="Cambria" w:cs="Cambria" w:eastAsia="Cambria" w:hAnsi="Cambria"/>
          <w:b w:val="false"/>
          <w:bCs w:val="false"/>
          <w:i w:val="false"/>
          <w:iCs w:val="false"/>
          <w:sz w:val="21"/>
          <w:szCs w:val="21"/>
        </w:rPr>
        <w:t xml:space="preserve">Sep.–Dec. 2025</w:t>
      </w:r>
    </w:p>
    <w:p>
      <w:pPr>
        <w:keepLines/>
        <w:spacing w:after="14" w:line="200"/>
        <w:ind w:left="283" w:hanging="142"/>
      </w:pPr>
      <w:r>
        <w:rPr>
          <w:rFonts w:ascii="Cambria" w:cs="Cambria" w:eastAsia="Cambria" w:hAnsi="Cambria"/>
          <w:b w:val="false"/>
          <w:bCs w:val="false"/>
          <w:i w:val="false"/>
          <w:iCs w:val="false"/>
          <w:sz w:val="18"/>
          <w:szCs w:val="18"/>
        </w:rPr>
        <w:t xml:space="preserve">• Benchmarked logistic regression, random forest, gradient boosting, and XGBoost over 101,766 records with cross-validation, then recalibrated and validated the selected model and ran driver attribution to explain the result.</w:t>
      </w:r>
    </w:p>
    <w:p>
      <w:pPr>
        <w:keepNext/>
        <w:pBdr>
          <w:bottom w:val="single" w:color="000000" w:sz="4" w:space="1"/>
        </w:pBdr>
        <w:spacing w:after="40" w:before="105" w:line="200"/>
      </w:pPr>
      <w:r>
        <w:rPr>
          <w:rFonts w:ascii="Cambria" w:cs="Cambria" w:eastAsia="Cambria" w:hAnsi="Cambria"/>
          <w:b/>
          <w:bCs/>
          <w:sz w:val="22"/>
          <w:szCs w:val="22"/>
        </w:rPr>
        <w:t xml:space="preserve">TECHNICAL SKILLS</w:t>
      </w:r>
    </w:p>
    <w:p>
      <w:pPr>
        <w:spacing w:after="14" w:line="200"/>
      </w:pPr>
      <w:r>
        <w:rPr>
          <w:rFonts w:ascii="Cambria" w:cs="Cambria" w:eastAsia="Cambria" w:hAnsi="Cambria"/>
          <w:b/>
          <w:bCs/>
          <w:sz w:val="18"/>
          <w:szCs w:val="18"/>
        </w:rPr>
        <w:t xml:space="preserve">Research Methods: </w:t>
      </w:r>
      <w:r>
        <w:rPr>
          <w:rFonts w:ascii="Cambria" w:cs="Cambria" w:eastAsia="Cambria" w:hAnsi="Cambria"/>
          <w:b w:val="false"/>
          <w:bCs w:val="false"/>
          <w:i w:val="false"/>
          <w:iCs w:val="false"/>
          <w:sz w:val="18"/>
          <w:szCs w:val="18"/>
        </w:rPr>
        <w:t xml:space="preserve">Quantitative and qualitative analysis, statistical sampling and inference, hypothesis testing, segmentation, demand analysis, cohort and retention analysis, satisfaction and rating data analysis, competitive and secondary research, trend and time series analysis, statistical modeling, regression</w:t>
      </w:r>
    </w:p>
    <w:p>
      <w:pPr>
        <w:spacing w:after="14" w:line="200"/>
      </w:pPr>
      <w:r>
        <w:rPr>
          <w:rFonts w:ascii="Cambria" w:cs="Cambria" w:eastAsia="Cambria" w:hAnsi="Cambria"/>
          <w:b/>
          <w:bCs/>
          <w:sz w:val="18"/>
          <w:szCs w:val="18"/>
        </w:rPr>
        <w:t xml:space="preserve">Analysis &amp; Presentation: </w:t>
      </w:r>
      <w:r>
        <w:rPr>
          <w:rFonts w:ascii="Cambria" w:cs="Cambria" w:eastAsia="Cambria" w:hAnsi="Cambria"/>
          <w:b w:val="false"/>
          <w:bCs w:val="false"/>
          <w:i w:val="false"/>
          <w:iCs w:val="false"/>
          <w:sz w:val="18"/>
          <w:szCs w:val="18"/>
        </w:rPr>
        <w:t xml:space="preserve">Microsoft Excel (pivot tables, lookups, dashboards), PowerPoint, Word, Tableau, Power BI, Metabase, data visualization, research reports, executive reporting, dashboards, data storytelling</w:t>
      </w:r>
    </w:p>
    <w:p>
      <w:pPr>
        <w:spacing w:after="14" w:line="200"/>
      </w:pPr>
      <w:r>
        <w:rPr>
          <w:rFonts w:ascii="Cambria" w:cs="Cambria" w:eastAsia="Cambria" w:hAnsi="Cambria"/>
          <w:b/>
          <w:bCs/>
          <w:sz w:val="18"/>
          <w:szCs w:val="18"/>
        </w:rPr>
        <w:t xml:space="preserve">Data &amp; Programming: </w:t>
      </w:r>
      <w:r>
        <w:rPr>
          <w:rFonts w:ascii="Cambria" w:cs="Cambria" w:eastAsia="Cambria" w:hAnsi="Cambria"/>
          <w:b w:val="false"/>
          <w:bCs w:val="false"/>
          <w:i w:val="false"/>
          <w:iCs w:val="false"/>
          <w:sz w:val="18"/>
          <w:szCs w:val="18"/>
        </w:rPr>
        <w:t xml:space="preserve">SQL (PostgreSQL, Oracle SQL, DuckDB — joins, CTEs, window functions, aggregation), Python (pandas, NumPy, scikit-learn), R, MATLAB; data collection, validation, and quality assurance; ETL pipelines; Git; Jupyter</w:t>
      </w:r>
    </w:p>
    <w:p>
      <w:pPr>
        <w:spacing w:after="14" w:line="200"/>
      </w:pPr>
      <w:r>
        <w:rPr>
          <w:rFonts w:ascii="Cambria" w:cs="Cambria" w:eastAsia="Cambria" w:hAnsi="Cambria"/>
          <w:b/>
          <w:bCs/>
          <w:sz w:val="18"/>
          <w:szCs w:val="18"/>
        </w:rPr>
        <w:t xml:space="preserve">Industry Knowledge: </w:t>
      </w:r>
      <w:r>
        <w:rPr>
          <w:rFonts w:ascii="Cambria" w:cs="Cambria" w:eastAsia="Cambria" w:hAnsi="Cambria"/>
          <w:b w:val="false"/>
          <w:bCs w:val="false"/>
          <w:i w:val="false"/>
          <w:iCs w:val="false"/>
          <w:sz w:val="18"/>
          <w:szCs w:val="18"/>
        </w:rPr>
        <w:t xml:space="preserve">Asset management and financial services, institutional client and sales support, macroeconomic and interest rate analysis, market sentiment, convertible bonds, due diligence questionnaires (DDQs), pre-IPO research</w:t>
      </w:r>
    </w:p>
    <w:p>
      <w:pPr>
        <w:spacing w:after="14" w:line="200"/>
      </w:pPr>
      <w:r>
        <w:rPr>
          <w:rFonts w:ascii="Cambria" w:cs="Cambria" w:eastAsia="Cambria" w:hAnsi="Cambria"/>
          <w:b/>
          <w:bCs/>
          <w:sz w:val="18"/>
          <w:szCs w:val="18"/>
        </w:rPr>
        <w:t xml:space="preserve">Business &amp; Communication: </w:t>
      </w:r>
      <w:r>
        <w:rPr>
          <w:rFonts w:ascii="Cambria" w:cs="Cambria" w:eastAsia="Cambria" w:hAnsi="Cambria"/>
          <w:b w:val="false"/>
          <w:bCs w:val="false"/>
          <w:i w:val="false"/>
          <w:iCs w:val="false"/>
          <w:sz w:val="18"/>
          <w:szCs w:val="18"/>
        </w:rPr>
        <w:t xml:space="preserve">Excellent written and oral communication; presenting to technical and non-technical stakeholders; translating analysis into actionable insights; strategic project scheduling and stakeholder management; curiosity; attention to detail; managing multiple priorities to deadline. Languages: Chinese (Native), English (Professional), Japanese (Basic)</w:t>
      </w:r>
    </w:p>
    <w:sectPr>
      <w:pgSz w:w="12240" w:h="15840" w:orient="portrait"/>
      <w:pgMar w:top="500" w:right="660" w:bottom="500" w:left="6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18"/>
        <w:szCs w:val="18"/>
      </w:rPr>
    </w:rPrDefault>
    <w:pPrDefault>
      <w:pPr>
        <w:spacing w:line="2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Tao (Tony) Jin — Resume</dc:title>
  <dc:creator>Tao (Tony) Jin</dc:creator>
  <cp:lastModifiedBy>Un-named</cp:lastModifiedBy>
  <cp:revision>1</cp:revision>
  <dcterms:created xsi:type="dcterms:W3CDTF">2026-08-05T19:01:39.744Z</dcterms:created>
  <dcterms:modified xsi:type="dcterms:W3CDTF">2026-08-05T19:01:39.744Z</dcterms:modified>
</cp:coreProperties>
</file>

<file path=docProps/custom.xml><?xml version="1.0" encoding="utf-8"?>
<Properties xmlns="http://schemas.openxmlformats.org/officeDocument/2006/custom-properties" xmlns:vt="http://schemas.openxmlformats.org/officeDocument/2006/docPropsVTypes"/>
</file>