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470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562"/>
        <w:gridCol w:w="706"/>
        <w:gridCol w:w="707"/>
        <w:gridCol w:w="701"/>
        <w:gridCol w:w="1664"/>
        <w:gridCol w:w="598"/>
        <w:gridCol w:w="742"/>
        <w:gridCol w:w="754"/>
        <w:gridCol w:w="751"/>
        <w:gridCol w:w="426"/>
        <w:gridCol w:w="670"/>
        <w:gridCol w:w="530"/>
        <w:gridCol w:w="636"/>
        <w:gridCol w:w="941"/>
        <w:gridCol w:w="2627"/>
        <w:gridCol w:w="839"/>
      </w:tblGrid>
      <w:tr w14:paraId="12D1B1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86" w:hRule="atLeast"/>
        </w:trPr>
        <w:tc>
          <w:tcPr>
            <w:tcW w:w="855" w:type="dxa"/>
            <w:vMerge w:val="restart"/>
            <w:vAlign w:val="center"/>
          </w:tcPr>
          <w:p w14:paraId="16CEEF08">
            <w:r>
              <w:rPr>
                <w:rFonts w:hint="eastAsia"/>
              </w:rPr>
              <w:t>代码/序号</w:t>
            </w:r>
          </w:p>
        </w:tc>
        <w:tc>
          <w:tcPr>
            <w:tcW w:w="562" w:type="dxa"/>
            <w:vMerge w:val="restart"/>
            <w:vAlign w:val="center"/>
          </w:tcPr>
          <w:p w14:paraId="709A9ACE">
            <w:pPr>
              <w:jc w:val="center"/>
            </w:pPr>
            <w:r>
              <w:rPr>
                <w:rFonts w:hint="eastAsia"/>
              </w:rPr>
              <w:t>所属分系统</w:t>
            </w:r>
          </w:p>
        </w:tc>
        <w:tc>
          <w:tcPr>
            <w:tcW w:w="706" w:type="dxa"/>
            <w:vMerge w:val="restart"/>
            <w:vAlign w:val="center"/>
          </w:tcPr>
          <w:p w14:paraId="2EEF36DE">
            <w:pPr>
              <w:jc w:val="center"/>
            </w:pPr>
            <w:r>
              <w:rPr>
                <w:rFonts w:hint="eastAsia"/>
              </w:rPr>
              <w:t>产品名称（产品代号）</w:t>
            </w:r>
          </w:p>
        </w:tc>
        <w:tc>
          <w:tcPr>
            <w:tcW w:w="707" w:type="dxa"/>
            <w:vMerge w:val="restart"/>
            <w:vAlign w:val="center"/>
          </w:tcPr>
          <w:p w14:paraId="76BD35E1">
            <w:pPr>
              <w:jc w:val="center"/>
            </w:pPr>
            <w:r>
              <w:rPr>
                <w:rFonts w:hint="eastAsia"/>
              </w:rPr>
              <w:t>功能</w:t>
            </w:r>
          </w:p>
        </w:tc>
        <w:tc>
          <w:tcPr>
            <w:tcW w:w="701" w:type="dxa"/>
            <w:vMerge w:val="restart"/>
            <w:vAlign w:val="center"/>
          </w:tcPr>
          <w:p w14:paraId="48973271">
            <w:pPr>
              <w:jc w:val="center"/>
            </w:pPr>
            <w:r>
              <w:rPr>
                <w:rFonts w:hint="eastAsia"/>
              </w:rPr>
              <w:t>故障模式</w:t>
            </w:r>
          </w:p>
        </w:tc>
        <w:tc>
          <w:tcPr>
            <w:tcW w:w="1664" w:type="dxa"/>
            <w:vMerge w:val="restart"/>
            <w:vAlign w:val="center"/>
          </w:tcPr>
          <w:p w14:paraId="2148DDF6">
            <w:pPr>
              <w:jc w:val="center"/>
            </w:pPr>
            <w:r>
              <w:rPr>
                <w:rFonts w:hint="eastAsia"/>
              </w:rPr>
              <w:t>故障原因</w:t>
            </w:r>
          </w:p>
        </w:tc>
        <w:tc>
          <w:tcPr>
            <w:tcW w:w="598" w:type="dxa"/>
            <w:vMerge w:val="restart"/>
            <w:vAlign w:val="center"/>
          </w:tcPr>
          <w:p w14:paraId="21D720E4">
            <w:pPr>
              <w:jc w:val="center"/>
            </w:pPr>
            <w:r>
              <w:rPr>
                <w:rFonts w:hint="eastAsia"/>
              </w:rPr>
              <w:t>任务阶段</w:t>
            </w:r>
          </w:p>
        </w:tc>
        <w:tc>
          <w:tcPr>
            <w:tcW w:w="2247" w:type="dxa"/>
            <w:gridSpan w:val="3"/>
            <w:vAlign w:val="center"/>
          </w:tcPr>
          <w:p w14:paraId="469EA9D7">
            <w:pPr>
              <w:jc w:val="center"/>
            </w:pPr>
            <w:r>
              <w:rPr>
                <w:rFonts w:hint="eastAsia"/>
              </w:rPr>
              <w:t>故障影响</w:t>
            </w:r>
          </w:p>
        </w:tc>
        <w:tc>
          <w:tcPr>
            <w:tcW w:w="426" w:type="dxa"/>
            <w:vMerge w:val="restart"/>
            <w:vAlign w:val="center"/>
          </w:tcPr>
          <w:p w14:paraId="70A18757">
            <w:pPr>
              <w:jc w:val="center"/>
            </w:pPr>
            <w:r>
              <w:rPr>
                <w:rFonts w:hint="eastAsia"/>
              </w:rPr>
              <w:t>严酷度</w:t>
            </w:r>
          </w:p>
        </w:tc>
        <w:tc>
          <w:tcPr>
            <w:tcW w:w="670" w:type="dxa"/>
            <w:vMerge w:val="restart"/>
            <w:vAlign w:val="center"/>
          </w:tcPr>
          <w:p w14:paraId="25023D57">
            <w:pPr>
              <w:jc w:val="center"/>
            </w:pPr>
            <w:r>
              <w:rPr>
                <w:rFonts w:hint="eastAsia"/>
              </w:rPr>
              <w:t>故障发生可能性</w:t>
            </w:r>
          </w:p>
        </w:tc>
        <w:tc>
          <w:tcPr>
            <w:tcW w:w="530" w:type="dxa"/>
            <w:vMerge w:val="restart"/>
            <w:vAlign w:val="center"/>
          </w:tcPr>
          <w:p w14:paraId="5C7840BB">
            <w:pPr>
              <w:jc w:val="center"/>
            </w:pPr>
            <w:r>
              <w:rPr>
                <w:rFonts w:hint="eastAsia"/>
              </w:rPr>
              <w:t>风险评价指数</w:t>
            </w:r>
          </w:p>
        </w:tc>
        <w:tc>
          <w:tcPr>
            <w:tcW w:w="636" w:type="dxa"/>
            <w:vMerge w:val="restart"/>
            <w:vAlign w:val="center"/>
          </w:tcPr>
          <w:p w14:paraId="15AB9F51">
            <w:pPr>
              <w:jc w:val="center"/>
            </w:pPr>
            <w:r>
              <w:rPr>
                <w:rFonts w:hint="eastAsia"/>
              </w:rPr>
              <w:t>故障模式特性</w:t>
            </w:r>
          </w:p>
        </w:tc>
        <w:tc>
          <w:tcPr>
            <w:tcW w:w="941" w:type="dxa"/>
            <w:vMerge w:val="restart"/>
            <w:vAlign w:val="center"/>
          </w:tcPr>
          <w:p w14:paraId="31D34D1D">
            <w:pPr>
              <w:jc w:val="center"/>
            </w:pPr>
            <w:r>
              <w:rPr>
                <w:rFonts w:hint="eastAsia"/>
              </w:rPr>
              <w:t>故障检测方法</w:t>
            </w:r>
          </w:p>
        </w:tc>
        <w:tc>
          <w:tcPr>
            <w:tcW w:w="2627" w:type="dxa"/>
            <w:vMerge w:val="restart"/>
            <w:vAlign w:val="center"/>
          </w:tcPr>
          <w:p w14:paraId="693D33AD">
            <w:pPr>
              <w:jc w:val="center"/>
            </w:pPr>
            <w:r>
              <w:rPr>
                <w:rFonts w:hint="eastAsia"/>
              </w:rPr>
              <w:t>保证措施和使用补偿措施</w:t>
            </w:r>
          </w:p>
        </w:tc>
        <w:tc>
          <w:tcPr>
            <w:tcW w:w="839" w:type="dxa"/>
            <w:vMerge w:val="restart"/>
            <w:vAlign w:val="center"/>
          </w:tcPr>
          <w:p w14:paraId="21732C47">
            <w:pPr>
              <w:jc w:val="center"/>
            </w:pPr>
            <w:r>
              <w:rPr>
                <w:rFonts w:hint="eastAsia"/>
              </w:rPr>
              <w:t>是/否单点</w:t>
            </w:r>
          </w:p>
        </w:tc>
      </w:tr>
      <w:tr w14:paraId="3AD0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4" w:hRule="atLeast"/>
        </w:trPr>
        <w:tc>
          <w:tcPr>
            <w:tcW w:w="855" w:type="dxa"/>
            <w:vMerge w:val="continue"/>
          </w:tcPr>
          <w:p w14:paraId="2F6ACB9D"/>
        </w:tc>
        <w:tc>
          <w:tcPr>
            <w:tcW w:w="562" w:type="dxa"/>
            <w:vMerge w:val="continue"/>
          </w:tcPr>
          <w:p w14:paraId="2BA7AE54"/>
        </w:tc>
        <w:tc>
          <w:tcPr>
            <w:tcW w:w="706" w:type="dxa"/>
            <w:vMerge w:val="continue"/>
          </w:tcPr>
          <w:p w14:paraId="01220D7E"/>
        </w:tc>
        <w:tc>
          <w:tcPr>
            <w:tcW w:w="707" w:type="dxa"/>
            <w:vMerge w:val="continue"/>
          </w:tcPr>
          <w:p w14:paraId="218E4251"/>
        </w:tc>
        <w:tc>
          <w:tcPr>
            <w:tcW w:w="701" w:type="dxa"/>
            <w:vMerge w:val="continue"/>
          </w:tcPr>
          <w:p w14:paraId="7A839C37"/>
        </w:tc>
        <w:tc>
          <w:tcPr>
            <w:tcW w:w="1664" w:type="dxa"/>
            <w:vMerge w:val="continue"/>
          </w:tcPr>
          <w:p w14:paraId="70E06BA7"/>
        </w:tc>
        <w:tc>
          <w:tcPr>
            <w:tcW w:w="598" w:type="dxa"/>
            <w:vMerge w:val="continue"/>
          </w:tcPr>
          <w:p w14:paraId="2A20439B"/>
        </w:tc>
        <w:tc>
          <w:tcPr>
            <w:tcW w:w="742" w:type="dxa"/>
          </w:tcPr>
          <w:p w14:paraId="2D561ACC">
            <w:r>
              <w:rPr>
                <w:rFonts w:hint="eastAsia"/>
              </w:rPr>
              <w:t>局部影响</w:t>
            </w:r>
          </w:p>
        </w:tc>
        <w:tc>
          <w:tcPr>
            <w:tcW w:w="754" w:type="dxa"/>
          </w:tcPr>
          <w:p w14:paraId="276BB1A5">
            <w:r>
              <w:rPr>
                <w:rFonts w:hint="eastAsia"/>
              </w:rPr>
              <w:t>最终影响</w:t>
            </w:r>
          </w:p>
        </w:tc>
        <w:tc>
          <w:tcPr>
            <w:tcW w:w="751" w:type="dxa"/>
          </w:tcPr>
          <w:p w14:paraId="2490D0CD">
            <w:r>
              <w:rPr>
                <w:rFonts w:hint="eastAsia"/>
              </w:rPr>
              <w:t>高一层次影响</w:t>
            </w:r>
          </w:p>
        </w:tc>
        <w:tc>
          <w:tcPr>
            <w:tcW w:w="426" w:type="dxa"/>
            <w:vMerge w:val="continue"/>
          </w:tcPr>
          <w:p w14:paraId="23A37627"/>
        </w:tc>
        <w:tc>
          <w:tcPr>
            <w:tcW w:w="670" w:type="dxa"/>
            <w:vMerge w:val="continue"/>
          </w:tcPr>
          <w:p w14:paraId="097EDA67"/>
        </w:tc>
        <w:tc>
          <w:tcPr>
            <w:tcW w:w="530" w:type="dxa"/>
            <w:vMerge w:val="continue"/>
          </w:tcPr>
          <w:p w14:paraId="5315DD96"/>
        </w:tc>
        <w:tc>
          <w:tcPr>
            <w:tcW w:w="636" w:type="dxa"/>
            <w:vMerge w:val="continue"/>
          </w:tcPr>
          <w:p w14:paraId="17DA32BE"/>
        </w:tc>
        <w:tc>
          <w:tcPr>
            <w:tcW w:w="941" w:type="dxa"/>
            <w:vMerge w:val="continue"/>
          </w:tcPr>
          <w:p w14:paraId="51D82525"/>
        </w:tc>
        <w:tc>
          <w:tcPr>
            <w:tcW w:w="2627" w:type="dxa"/>
            <w:vMerge w:val="continue"/>
          </w:tcPr>
          <w:p w14:paraId="5FE9F920"/>
        </w:tc>
        <w:tc>
          <w:tcPr>
            <w:tcW w:w="839" w:type="dxa"/>
            <w:vMerge w:val="continue"/>
          </w:tcPr>
          <w:p w14:paraId="4C21B312"/>
        </w:tc>
      </w:tr>
      <w:tr w14:paraId="10451E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restart"/>
            <w:vAlign w:val="center"/>
          </w:tcPr>
          <w:p>
            <w:pPr/>
            <w:r>
              <w:t>03</w:t>
            </w:r>
          </w:p>
        </w:tc>
        <w:tc>
          <w:tcPr>
            <w:tcW w:w="562" w:type="dxa"/>
            <w:vMerge w:val="restart"/>
            <w:vAlign w:val="center"/>
          </w:tcPr>
          <w:p>
            <w:pPr/>
            <w:r>
              <w:t>智能化防御分系统</w:t>
            </w:r>
          </w:p>
        </w:tc>
        <w:tc>
          <w:tcPr>
            <w:tcW w:w="706" w:type="dxa"/>
            <w:vMerge w:val="restart"/>
            <w:vAlign w:val="center"/>
          </w:tcPr>
          <w:p>
            <w:pPr/>
            <w:r>
              <w:t>“边境屏障”智能节点（BB-ZN03）</w:t>
            </w:r>
          </w:p>
        </w:tc>
        <w:tc>
          <w:tcPr>
            <w:tcW w:w="707" w:type="dxa"/>
            <w:vMerge w:val="restart"/>
            <w:vAlign w:val="center"/>
          </w:tcPr>
          <w:p>
            <w:pPr/>
            <w:r>
              <w:t>无人值守边境感知与拦截</w:t>
            </w:r>
          </w:p>
        </w:tc>
        <w:tc>
          <w:tcPr>
            <w:tcW w:w="701" w:type="dxa"/>
            <w:vMerge w:val="restart"/>
            <w:vAlign w:val="center"/>
          </w:tcPr>
          <w:p>
            <w:pPr/>
            <w:r>
              <w:t>AI识别模型误报率突增</w:t>
            </w:r>
          </w:p>
        </w:tc>
        <w:tc>
          <w:tcPr>
            <w:tcW w:w="1664" w:type="dxa"/>
            <w:vAlign w:val="center"/>
          </w:tcPr>
          <w:p>
            <w:pPr/>
            <w:r>
              <w:t>敌方EMP武器近距离引爆</w:t>
            </w:r>
          </w:p>
        </w:tc>
        <w:tc>
          <w:tcPr>
            <w:tcW w:w="598" w:type="dxa"/>
            <w:vMerge w:val="restart"/>
            <w:vAlign w:val="center"/>
          </w:tcPr>
          <w:p>
            <w:pPr/>
            <w:r>
              <w:t>全天候巡逻阶段</w:t>
            </w:r>
          </w:p>
        </w:tc>
        <w:tc>
          <w:tcPr>
            <w:tcW w:w="742" w:type="dxa"/>
            <w:vMerge w:val="restart"/>
            <w:vAlign w:val="center"/>
          </w:tcPr>
          <w:p>
            <w:pPr/>
            <w:r>
              <w:t>误将野生动物标记为入侵目标</w:t>
            </w:r>
          </w:p>
        </w:tc>
        <w:tc>
          <w:tcPr>
            <w:tcW w:w="754" w:type="dxa"/>
            <w:vMerge w:val="restart"/>
            <w:shd w:val="clear"/>
            <w:vAlign w:val="top"/>
          </w:tcPr>
          <w:p>
            <w:pPr/>
            <w:r>
              <w:t>虚警次数&gt;20次/小时，值守员负荷激增</w:t>
            </w:r>
          </w:p>
        </w:tc>
        <w:tc>
          <w:tcPr>
            <w:tcW w:w="751" w:type="dxa"/>
            <w:vMerge w:val="restart"/>
            <w:vAlign w:val="center"/>
          </w:tcPr>
          <w:p>
            <w:pPr/>
            <w:r>
              <w:t>后方指挥中心需投入人工二次确认</w:t>
            </w:r>
          </w:p>
        </w:tc>
        <w:tc>
          <w:tcPr>
            <w:tcW w:w="426" w:type="dxa"/>
            <w:vMerge w:val="restart"/>
            <w:vAlign w:val="center"/>
          </w:tcPr>
          <w:p w14:paraId="6766AEE2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1B572055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3BF8C5CB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6A8CB0F0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pPr/>
            <w:r>
              <w:t>双光谱交叉验证+图像熵值算法</w:t>
            </w:r>
          </w:p>
        </w:tc>
        <w:tc>
          <w:tcPr>
            <w:tcW w:w="2627" w:type="dxa"/>
            <w:vAlign w:val="center"/>
          </w:tcPr>
          <w:p>
            <w:pPr/>
            <w:r>
              <w:t>启用“破阵”系列电磁脉冲干扰器进行主动防护</w:t>
            </w:r>
          </w:p>
        </w:tc>
        <w:tc>
          <w:tcPr>
            <w:tcW w:w="839" w:type="dxa"/>
            <w:vMerge w:val="restart"/>
            <w:vAlign w:val="center"/>
          </w:tcPr>
          <w:p w14:paraId="3EE88B1C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49478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20C197F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56BB9485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16B4901F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07F6E78A"/>
        </w:tc>
        <w:tc>
          <w:tcPr>
            <w:tcW w:w="701" w:type="dxa"/>
            <w:vMerge w:val="continue"/>
            <w:vAlign w:val="center"/>
          </w:tcPr>
          <w:p w14:paraId="2DFD5F40"/>
        </w:tc>
        <w:tc>
          <w:tcPr>
            <w:tcW w:w="1664" w:type="dxa"/>
            <w:vAlign w:val="center"/>
          </w:tcPr>
          <w:p>
            <w:pPr/>
            <w:r>
              <w:t>高海拔+高湿环境连续工作超4h</w:t>
            </w:r>
          </w:p>
        </w:tc>
        <w:tc>
          <w:tcPr>
            <w:tcW w:w="598" w:type="dxa"/>
            <w:vMerge w:val="continue"/>
            <w:vAlign w:val="center"/>
          </w:tcPr>
          <w:p w14:paraId="13E83A96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394ADDF9"/>
        </w:tc>
        <w:tc>
          <w:tcPr>
            <w:tcW w:w="754" w:type="dxa"/>
            <w:vMerge w:val="continue"/>
            <w:vAlign w:val="center"/>
          </w:tcPr>
          <w:p w14:paraId="14B6BF2D"/>
        </w:tc>
        <w:tc>
          <w:tcPr>
            <w:tcW w:w="751" w:type="dxa"/>
            <w:vMerge w:val="continue"/>
            <w:vAlign w:val="center"/>
          </w:tcPr>
          <w:p w14:paraId="4D18A7AE"/>
        </w:tc>
        <w:tc>
          <w:tcPr>
            <w:tcW w:w="426" w:type="dxa"/>
            <w:vMerge w:val="continue"/>
            <w:vAlign w:val="center"/>
          </w:tcPr>
          <w:p w14:paraId="1C3F5088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50891AC6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1FFAE918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09A13A4E"/>
        </w:tc>
        <w:tc>
          <w:tcPr>
            <w:tcW w:w="941" w:type="dxa"/>
            <w:vMerge w:val="continue"/>
            <w:vAlign w:val="center"/>
          </w:tcPr>
          <w:p w14:paraId="5DDA7EF5"/>
        </w:tc>
        <w:tc>
          <w:tcPr>
            <w:tcW w:w="2627" w:type="dxa"/>
            <w:vAlign w:val="center"/>
          </w:tcPr>
          <w:p>
            <w:pPr/>
            <w:r>
              <w:t>预置高海拔徒步散热风道+备用液冷背包</w:t>
            </w:r>
          </w:p>
        </w:tc>
        <w:tc>
          <w:tcPr>
            <w:tcW w:w="839" w:type="dxa"/>
            <w:vMerge w:val="continue"/>
            <w:vAlign w:val="center"/>
          </w:tcPr>
          <w:p w14:paraId="76A4B06A">
            <w:pPr>
              <w:jc w:val="center"/>
            </w:pPr>
          </w:p>
        </w:tc>
      </w:tr>
      <w:tr w14:paraId="48168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D525A84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3D7ADF03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12E86186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2082EC6F"/>
        </w:tc>
        <w:tc>
          <w:tcPr>
            <w:tcW w:w="701" w:type="dxa"/>
            <w:vMerge w:val="continue"/>
            <w:vAlign w:val="center"/>
          </w:tcPr>
          <w:p w14:paraId="161702C9"/>
        </w:tc>
        <w:tc>
          <w:tcPr>
            <w:tcW w:w="1664" w:type="dxa"/>
            <w:vAlign w:val="center"/>
          </w:tcPr>
          <w:p>
            <w:pPr/>
            <w:r>
              <w:t>沙尘暴导致光学窗口污染</w:t>
            </w:r>
          </w:p>
        </w:tc>
        <w:tc>
          <w:tcPr>
            <w:tcW w:w="598" w:type="dxa"/>
            <w:vMerge w:val="continue"/>
            <w:vAlign w:val="center"/>
          </w:tcPr>
          <w:p w14:paraId="6D5E94AB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2C0B0A58"/>
        </w:tc>
        <w:tc>
          <w:tcPr>
            <w:tcW w:w="754" w:type="dxa"/>
            <w:vMerge w:val="continue"/>
            <w:vAlign w:val="center"/>
          </w:tcPr>
          <w:p w14:paraId="21EED8FB"/>
        </w:tc>
        <w:tc>
          <w:tcPr>
            <w:tcW w:w="751" w:type="dxa"/>
            <w:vMerge w:val="continue"/>
            <w:vAlign w:val="center"/>
          </w:tcPr>
          <w:p w14:paraId="2B96BA31"/>
        </w:tc>
        <w:tc>
          <w:tcPr>
            <w:tcW w:w="426" w:type="dxa"/>
            <w:vMerge w:val="continue"/>
            <w:vAlign w:val="center"/>
          </w:tcPr>
          <w:p w14:paraId="0634FD0E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14B3CD86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25E56E1F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4C4498EE"/>
        </w:tc>
        <w:tc>
          <w:tcPr>
            <w:tcW w:w="941" w:type="dxa"/>
            <w:vMerge w:val="continue"/>
            <w:vAlign w:val="center"/>
          </w:tcPr>
          <w:p w14:paraId="34C3E9E9"/>
        </w:tc>
        <w:tc>
          <w:tcPr>
            <w:tcW w:w="2627" w:type="dxa"/>
            <w:vAlign w:val="center"/>
          </w:tcPr>
          <w:p>
            <w:pPr/>
            <w:r>
              <w:t>自动雨刷+纳米疏水涂层，沙尘后30s自洁</w:t>
            </w:r>
          </w:p>
        </w:tc>
        <w:tc>
          <w:tcPr>
            <w:tcW w:w="839" w:type="dxa"/>
            <w:vMerge w:val="continue"/>
            <w:vAlign w:val="center"/>
          </w:tcPr>
          <w:p w14:paraId="6EA68B31">
            <w:pPr>
              <w:jc w:val="center"/>
            </w:pPr>
          </w:p>
        </w:tc>
      </w:tr>
      <w:tr w14:paraId="70650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restart"/>
            <w:vAlign w:val="center"/>
          </w:tcPr>
          <w:p>
            <w:pPr/>
            <w:r>
              <w:t>12</w:t>
            </w:r>
          </w:p>
        </w:tc>
        <w:tc>
          <w:tcPr>
            <w:tcW w:w="562" w:type="dxa"/>
            <w:vMerge w:val="restart"/>
            <w:vAlign w:val="center"/>
          </w:tcPr>
          <w:p>
            <w:pPr/>
            <w:r>
              <w:t>文化分系统</w:t>
            </w:r>
          </w:p>
        </w:tc>
        <w:tc>
          <w:tcPr>
            <w:tcW w:w="706" w:type="dxa"/>
            <w:vMerge w:val="restart"/>
            <w:vAlign w:val="center"/>
          </w:tcPr>
          <w:p>
            <w:pPr/>
            <w:r>
              <w:t>《数字时代的指挥艺术》作者签名版电子书（DCA-Sign12）</w:t>
            </w:r>
          </w:p>
        </w:tc>
        <w:tc>
          <w:tcPr>
            <w:tcW w:w="707" w:type="dxa"/>
            <w:vMerge w:val="restart"/>
            <w:vAlign w:val="center"/>
          </w:tcPr>
          <w:p>
            <w:pPr/>
            <w:r>
              <w:t>作者互动与读者反馈收集</w:t>
            </w:r>
          </w:p>
        </w:tc>
        <w:tc>
          <w:tcPr>
            <w:tcW w:w="701" w:type="dxa"/>
            <w:vMerge w:val="restart"/>
            <w:vAlign w:val="center"/>
          </w:tcPr>
          <w:p>
            <w:pPr/>
            <w:r>
              <w:t>固态存储器出现坏块</w:t>
            </w:r>
          </w:p>
        </w:tc>
        <w:tc>
          <w:tcPr>
            <w:tcW w:w="1664" w:type="dxa"/>
            <w:vAlign w:val="center"/>
          </w:tcPr>
          <w:p>
            <w:pPr/>
            <w:r>
              <w:t>古典围棋残局库版本过旧</w:t>
            </w:r>
          </w:p>
        </w:tc>
        <w:tc>
          <w:tcPr>
            <w:tcW w:w="598" w:type="dxa"/>
            <w:vMerge w:val="restart"/>
            <w:vAlign w:val="center"/>
          </w:tcPr>
          <w:p>
            <w:pPr/>
            <w:r>
              <w:t>战术规划阶段</w:t>
            </w:r>
          </w:p>
        </w:tc>
        <w:tc>
          <w:tcPr>
            <w:tcW w:w="742" w:type="dxa"/>
            <w:vMerge w:val="restart"/>
            <w:vAlign w:val="center"/>
          </w:tcPr>
          <w:p>
            <w:pPr/>
            <w:r>
              <w:t>关键章节无法打开</w:t>
            </w:r>
          </w:p>
        </w:tc>
        <w:tc>
          <w:tcPr>
            <w:tcW w:w="754" w:type="dxa"/>
            <w:vMerge w:val="restart"/>
            <w:vAlign w:val="center"/>
          </w:tcPr>
          <w:p>
            <w:pPr/>
            <w:r>
              <w:t>指挥员无法引用历史案例，决策时间延长</w:t>
            </w:r>
          </w:p>
        </w:tc>
        <w:tc>
          <w:tcPr>
            <w:tcW w:w="751" w:type="dxa"/>
            <w:vMerge w:val="restart"/>
            <w:vAlign w:val="center"/>
          </w:tcPr>
          <w:p>
            <w:pPr/>
            <w:r>
              <w:t>整体作战节奏被迫放缓</w:t>
            </w:r>
          </w:p>
        </w:tc>
        <w:tc>
          <w:tcPr>
            <w:tcW w:w="426" w:type="dxa"/>
            <w:vMerge w:val="restart"/>
            <w:vAlign w:val="center"/>
          </w:tcPr>
          <w:p w14:paraId="014EA9A5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07A3E710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337EAAF4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38E98337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pPr/>
            <w:r>
              <w:t>MD5校验每章摘要，异常即标红</w:t>
            </w:r>
          </w:p>
        </w:tc>
        <w:tc>
          <w:tcPr>
            <w:tcW w:w="2627" w:type="dxa"/>
            <w:vMerge w:val="restart"/>
            <w:vAlign w:val="center"/>
          </w:tcPr>
          <w:p>
            <w:pPr/>
            <w:r>
              <w:t>部署可移动量子中继无人机，2h内恢复链路</w:t>
            </w:r>
          </w:p>
        </w:tc>
        <w:tc>
          <w:tcPr>
            <w:tcW w:w="839" w:type="dxa"/>
            <w:vMerge w:val="restart"/>
            <w:vAlign w:val="center"/>
          </w:tcPr>
          <w:p w14:paraId="1D11E71F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2B8468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2" w:hRule="atLeast"/>
        </w:trPr>
        <w:tc>
          <w:tcPr>
            <w:tcW w:w="855" w:type="dxa"/>
            <w:vMerge w:val="continue"/>
            <w:vAlign w:val="center"/>
          </w:tcPr>
          <w:p w14:paraId="6E4E5A6B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5E8783E0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7E5B3F7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1E542CBB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15695327"/>
        </w:tc>
        <w:tc>
          <w:tcPr>
            <w:tcW w:w="1664" w:type="dxa"/>
            <w:vAlign w:val="center"/>
          </w:tcPr>
          <w:p>
            <w:pPr/>
            <w:r>
              <w:t>光纤中继站被山体滑坡破坏</w:t>
            </w:r>
          </w:p>
        </w:tc>
        <w:tc>
          <w:tcPr>
            <w:tcW w:w="598" w:type="dxa"/>
            <w:vMerge w:val="continue"/>
            <w:vAlign w:val="center"/>
          </w:tcPr>
          <w:p w14:paraId="5F4D1E4D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5838123C"/>
        </w:tc>
        <w:tc>
          <w:tcPr>
            <w:tcW w:w="754" w:type="dxa"/>
            <w:vMerge w:val="continue"/>
            <w:vAlign w:val="center"/>
          </w:tcPr>
          <w:p w14:paraId="305E1022"/>
        </w:tc>
        <w:tc>
          <w:tcPr>
            <w:tcW w:w="751" w:type="dxa"/>
            <w:vMerge w:val="continue"/>
            <w:vAlign w:val="center"/>
          </w:tcPr>
          <w:p w14:paraId="5F8370EB"/>
        </w:tc>
        <w:tc>
          <w:tcPr>
            <w:tcW w:w="426" w:type="dxa"/>
            <w:vMerge w:val="continue"/>
            <w:vAlign w:val="center"/>
          </w:tcPr>
          <w:p w14:paraId="2B1EF5E3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054C511B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061855B5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6E7E97A7"/>
        </w:tc>
        <w:tc>
          <w:tcPr>
            <w:tcW w:w="941" w:type="dxa"/>
            <w:vMerge w:val="continue"/>
            <w:vAlign w:val="center"/>
          </w:tcPr>
          <w:p w14:paraId="0D002ECD"/>
        </w:tc>
        <w:tc>
          <w:tcPr>
            <w:tcW w:w="2627" w:type="dxa"/>
            <w:vMerge w:val="continue"/>
            <w:vAlign w:val="center"/>
          </w:tcPr>
          <w:p w14:paraId="37C2170E"/>
        </w:tc>
        <w:tc>
          <w:tcPr>
            <w:tcW w:w="839" w:type="dxa"/>
            <w:vMerge w:val="continue"/>
            <w:vAlign w:val="center"/>
          </w:tcPr>
          <w:p w14:paraId="40674EE6">
            <w:pPr>
              <w:jc w:val="center"/>
            </w:pPr>
          </w:p>
        </w:tc>
      </w:tr>
      <w:tr w14:paraId="268F7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7D70B240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3FEA7040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6F8FC9D9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520DDD00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12565889"/>
        </w:tc>
        <w:tc>
          <w:tcPr>
            <w:tcW w:w="1664" w:type="dxa"/>
            <w:vAlign w:val="center"/>
          </w:tcPr>
          <w:p>
            <w:pPr/>
            <w:r>
              <w:t>高海拔低温-30℃反复上下电</w:t>
            </w:r>
          </w:p>
        </w:tc>
        <w:tc>
          <w:tcPr>
            <w:tcW w:w="598" w:type="dxa"/>
            <w:vMerge w:val="continue"/>
            <w:vAlign w:val="center"/>
          </w:tcPr>
          <w:p w14:paraId="5DCE52DA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0FC912C3"/>
        </w:tc>
        <w:tc>
          <w:tcPr>
            <w:tcW w:w="754" w:type="dxa"/>
            <w:vMerge w:val="continue"/>
            <w:vAlign w:val="center"/>
          </w:tcPr>
          <w:p w14:paraId="266E5F65"/>
        </w:tc>
        <w:tc>
          <w:tcPr>
            <w:tcW w:w="751" w:type="dxa"/>
            <w:vMerge w:val="continue"/>
            <w:vAlign w:val="center"/>
          </w:tcPr>
          <w:p w14:paraId="036D5CCD"/>
        </w:tc>
        <w:tc>
          <w:tcPr>
            <w:tcW w:w="426" w:type="dxa"/>
            <w:vMerge w:val="continue"/>
            <w:vAlign w:val="center"/>
          </w:tcPr>
          <w:p w14:paraId="7B511FC7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4CF16AB9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61F2D49C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37C66482"/>
        </w:tc>
        <w:tc>
          <w:tcPr>
            <w:tcW w:w="941" w:type="dxa"/>
            <w:vMerge w:val="continue"/>
            <w:vAlign w:val="center"/>
          </w:tcPr>
          <w:p w14:paraId="5AB64206"/>
        </w:tc>
        <w:tc>
          <w:tcPr>
            <w:tcW w:w="2627" w:type="dxa"/>
            <w:vAlign w:val="center"/>
          </w:tcPr>
          <w:p>
            <w:pPr/>
            <w:r>
              <w:t>双存储镜像+可插拔TF卡，现场3分钟更换</w:t>
            </w:r>
          </w:p>
        </w:tc>
        <w:tc>
          <w:tcPr>
            <w:tcW w:w="839" w:type="dxa"/>
            <w:vMerge w:val="continue"/>
            <w:vAlign w:val="center"/>
          </w:tcPr>
          <w:p w14:paraId="7A33285A">
            <w:pPr>
              <w:jc w:val="center"/>
            </w:pPr>
          </w:p>
        </w:tc>
      </w:tr>
      <w:tr w14:paraId="6D577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5F0C081F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09668135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2E0322B6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7B47E322">
            <w:pPr>
              <w:jc w:val="center"/>
            </w:pPr>
          </w:p>
        </w:tc>
        <w:tc>
          <w:tcPr>
            <w:tcW w:w="701" w:type="dxa"/>
            <w:vMerge w:val="restart"/>
            <w:vAlign w:val="center"/>
          </w:tcPr>
          <w:p>
            <w:pPr/>
            <w:r>
              <w:t>官方电子信箱服务器宕机</w:t>
            </w:r>
          </w:p>
        </w:tc>
        <w:tc>
          <w:tcPr>
            <w:tcW w:w="1664" w:type="dxa"/>
            <w:vAlign w:val="center"/>
          </w:tcPr>
          <w:p>
            <w:pPr/>
            <w:r>
              <w:t>备件堆叠方式未考虑电磁兼容</w:t>
            </w:r>
          </w:p>
        </w:tc>
        <w:tc>
          <w:tcPr>
            <w:tcW w:w="598" w:type="dxa"/>
            <w:vMerge w:val="restart"/>
            <w:vAlign w:val="center"/>
          </w:tcPr>
          <w:p>
            <w:pPr/>
            <w:r>
              <w:t>情报整编阶段</w:t>
            </w:r>
          </w:p>
        </w:tc>
        <w:tc>
          <w:tcPr>
            <w:tcW w:w="742" w:type="dxa"/>
            <w:vMerge w:val="restart"/>
            <w:vAlign w:val="center"/>
          </w:tcPr>
          <w:p>
            <w:pPr/>
            <w:r>
              <w:t>无法接收后方加密邮件</w:t>
            </w:r>
          </w:p>
        </w:tc>
        <w:tc>
          <w:tcPr>
            <w:tcW w:w="754" w:type="dxa"/>
            <w:vMerge w:val="restart"/>
            <w:vAlign w:val="center"/>
          </w:tcPr>
          <w:p>
            <w:pPr/>
            <w:r>
              <w:t>关键情报延迟2小时，错失打击窗口</w:t>
            </w:r>
          </w:p>
        </w:tc>
        <w:tc>
          <w:tcPr>
            <w:tcW w:w="751" w:type="dxa"/>
            <w:vMerge w:val="restart"/>
            <w:vAlign w:val="center"/>
          </w:tcPr>
          <w:p>
            <w:pPr/>
            <w:r>
              <w:t>战役级决策被迫推迟</w:t>
            </w:r>
          </w:p>
        </w:tc>
        <w:tc>
          <w:tcPr>
            <w:tcW w:w="426" w:type="dxa"/>
            <w:vMerge w:val="restart"/>
            <w:vAlign w:val="center"/>
          </w:tcPr>
          <w:p w14:paraId="1EA623D7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04FE1714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5E194A81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4E0F9C16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pPr/>
            <w:r>
              <w:t>心跳邮件每5分钟一次，缺失3次即切换卫星邮箱</w:t>
            </w:r>
          </w:p>
        </w:tc>
        <w:tc>
          <w:tcPr>
            <w:tcW w:w="2627" w:type="dxa"/>
            <w:vMerge w:val="restart"/>
            <w:vAlign w:val="center"/>
          </w:tcPr>
          <w:p>
            <w:pPr/>
            <w:r>
              <w:t>增加铝塑复合层厚度0.02mm+现场真空热封补丁</w:t>
            </w:r>
          </w:p>
        </w:tc>
        <w:tc>
          <w:tcPr>
            <w:tcW w:w="839" w:type="dxa"/>
            <w:vMerge w:val="restart"/>
            <w:vAlign w:val="center"/>
          </w:tcPr>
          <w:p w14:paraId="46304368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68832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855" w:type="dxa"/>
            <w:vMerge w:val="continue"/>
            <w:vAlign w:val="center"/>
          </w:tcPr>
          <w:p w14:paraId="430A5706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246E5C92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448DDFB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6EA20C45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08BBBE94"/>
        </w:tc>
        <w:tc>
          <w:tcPr>
            <w:tcW w:w="1664" w:type="dxa"/>
            <w:vAlign w:val="center"/>
          </w:tcPr>
          <w:p>
            <w:pPr/>
            <w:r>
              <w:t>高海拔低压膨胀导致封口微裂</w:t>
            </w:r>
          </w:p>
        </w:tc>
        <w:tc>
          <w:tcPr>
            <w:tcW w:w="598" w:type="dxa"/>
            <w:vMerge w:val="continue"/>
            <w:vAlign w:val="center"/>
          </w:tcPr>
          <w:p w14:paraId="6C568128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0133886C"/>
        </w:tc>
        <w:tc>
          <w:tcPr>
            <w:tcW w:w="754" w:type="dxa"/>
            <w:vMerge w:val="continue"/>
            <w:vAlign w:val="center"/>
          </w:tcPr>
          <w:p w14:paraId="58C5AA65"/>
        </w:tc>
        <w:tc>
          <w:tcPr>
            <w:tcW w:w="751" w:type="dxa"/>
            <w:vMerge w:val="continue"/>
            <w:vAlign w:val="center"/>
          </w:tcPr>
          <w:p w14:paraId="64815F96"/>
        </w:tc>
        <w:tc>
          <w:tcPr>
            <w:tcW w:w="426" w:type="dxa"/>
            <w:vMerge w:val="continue"/>
            <w:vAlign w:val="center"/>
          </w:tcPr>
          <w:p w14:paraId="21ED83B1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502AA0E2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5295ADF7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0B98E2F5"/>
        </w:tc>
        <w:tc>
          <w:tcPr>
            <w:tcW w:w="941" w:type="dxa"/>
            <w:vMerge w:val="continue"/>
            <w:vAlign w:val="center"/>
          </w:tcPr>
          <w:p w14:paraId="660D727F"/>
        </w:tc>
        <w:tc>
          <w:tcPr>
            <w:tcW w:w="2627" w:type="dxa"/>
            <w:vMerge w:val="continue"/>
            <w:vAlign w:val="center"/>
          </w:tcPr>
          <w:p w14:paraId="479940B5"/>
        </w:tc>
        <w:tc>
          <w:tcPr>
            <w:tcW w:w="839" w:type="dxa"/>
            <w:vMerge w:val="continue"/>
            <w:vAlign w:val="center"/>
          </w:tcPr>
          <w:p w14:paraId="44895B42">
            <w:pPr>
              <w:jc w:val="center"/>
            </w:pPr>
          </w:p>
        </w:tc>
      </w:tr>
      <w:tr w14:paraId="59FEA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  <w:vAlign w:val="center"/>
          </w:tcPr>
          <w:p w14:paraId="336F74A2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71203DF7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2A60CCC1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C3FE91A">
            <w:pPr>
              <w:jc w:val="center"/>
            </w:pPr>
          </w:p>
        </w:tc>
        <w:tc>
          <w:tcPr>
            <w:tcW w:w="701" w:type="dxa"/>
            <w:vMerge w:val="continue"/>
            <w:vAlign w:val="center"/>
          </w:tcPr>
          <w:p w14:paraId="0D1D3AA0"/>
        </w:tc>
        <w:tc>
          <w:tcPr>
            <w:tcW w:w="1664" w:type="dxa"/>
            <w:vAlign w:val="center"/>
          </w:tcPr>
          <w:p>
            <w:pPr/>
            <w:r>
              <w:t>lu.xingyuan@guardians.mil.cn域名解析失败</w:t>
            </w:r>
          </w:p>
        </w:tc>
        <w:tc>
          <w:tcPr>
            <w:tcW w:w="598" w:type="dxa"/>
            <w:vMerge w:val="continue"/>
            <w:vAlign w:val="center"/>
          </w:tcPr>
          <w:p w14:paraId="5AEFECF1">
            <w:pPr>
              <w:jc w:val="center"/>
            </w:pPr>
          </w:p>
        </w:tc>
        <w:tc>
          <w:tcPr>
            <w:tcW w:w="742" w:type="dxa"/>
            <w:vMerge w:val="continue"/>
            <w:vAlign w:val="center"/>
          </w:tcPr>
          <w:p w14:paraId="6B3A4E66"/>
        </w:tc>
        <w:tc>
          <w:tcPr>
            <w:tcW w:w="754" w:type="dxa"/>
            <w:vMerge w:val="continue"/>
            <w:vAlign w:val="center"/>
          </w:tcPr>
          <w:p w14:paraId="6FE7CB99"/>
        </w:tc>
        <w:tc>
          <w:tcPr>
            <w:tcW w:w="751" w:type="dxa"/>
            <w:vMerge w:val="continue"/>
            <w:vAlign w:val="center"/>
          </w:tcPr>
          <w:p w14:paraId="568F501B"/>
        </w:tc>
        <w:tc>
          <w:tcPr>
            <w:tcW w:w="426" w:type="dxa"/>
            <w:vMerge w:val="continue"/>
            <w:vAlign w:val="center"/>
          </w:tcPr>
          <w:p w14:paraId="785FD886">
            <w:pPr>
              <w:jc w:val="center"/>
            </w:pPr>
          </w:p>
        </w:tc>
        <w:tc>
          <w:tcPr>
            <w:tcW w:w="670" w:type="dxa"/>
            <w:vMerge w:val="continue"/>
            <w:vAlign w:val="center"/>
          </w:tcPr>
          <w:p w14:paraId="46EB7202">
            <w:pPr>
              <w:jc w:val="center"/>
            </w:pPr>
          </w:p>
        </w:tc>
        <w:tc>
          <w:tcPr>
            <w:tcW w:w="530" w:type="dxa"/>
            <w:vMerge w:val="continue"/>
            <w:vAlign w:val="center"/>
          </w:tcPr>
          <w:p w14:paraId="26DD26FE">
            <w:pPr>
              <w:jc w:val="center"/>
            </w:pPr>
          </w:p>
        </w:tc>
        <w:tc>
          <w:tcPr>
            <w:tcW w:w="636" w:type="dxa"/>
            <w:vMerge w:val="continue"/>
            <w:vAlign w:val="center"/>
          </w:tcPr>
          <w:p w14:paraId="5A2B5236"/>
        </w:tc>
        <w:tc>
          <w:tcPr>
            <w:tcW w:w="941" w:type="dxa"/>
            <w:vMerge w:val="continue"/>
            <w:vAlign w:val="center"/>
          </w:tcPr>
          <w:p w14:paraId="6A463C20"/>
        </w:tc>
        <w:tc>
          <w:tcPr>
            <w:tcW w:w="2627" w:type="dxa"/>
            <w:vAlign w:val="center"/>
          </w:tcPr>
          <w:p>
            <w:pPr/>
            <w:r>
              <w:t>自动转发至010-88776655办公电话语音播报备份</w:t>
            </w:r>
          </w:p>
        </w:tc>
        <w:tc>
          <w:tcPr>
            <w:tcW w:w="839" w:type="dxa"/>
            <w:vMerge w:val="continue"/>
            <w:vAlign w:val="center"/>
          </w:tcPr>
          <w:p w14:paraId="38BBA93F">
            <w:pPr>
              <w:jc w:val="center"/>
            </w:pPr>
          </w:p>
        </w:tc>
      </w:tr>
      <w:tr w14:paraId="5882C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9" w:hRule="atLeast"/>
        </w:trPr>
        <w:tc>
          <w:tcPr>
            <w:tcW w:w="855" w:type="dxa"/>
            <w:vMerge w:val="continue"/>
            <w:vAlign w:val="center"/>
          </w:tcPr>
          <w:p w14:paraId="7DA144CE">
            <w:pPr>
              <w:jc w:val="center"/>
            </w:pPr>
          </w:p>
        </w:tc>
        <w:tc>
          <w:tcPr>
            <w:tcW w:w="562" w:type="dxa"/>
            <w:vMerge w:val="continue"/>
            <w:vAlign w:val="center"/>
          </w:tcPr>
          <w:p w14:paraId="0167086F">
            <w:pPr>
              <w:jc w:val="center"/>
            </w:pPr>
          </w:p>
        </w:tc>
        <w:tc>
          <w:tcPr>
            <w:tcW w:w="706" w:type="dxa"/>
            <w:vMerge w:val="continue"/>
            <w:vAlign w:val="center"/>
          </w:tcPr>
          <w:p w14:paraId="00D5F42A">
            <w:pPr>
              <w:jc w:val="center"/>
            </w:pPr>
          </w:p>
        </w:tc>
        <w:tc>
          <w:tcPr>
            <w:tcW w:w="707" w:type="dxa"/>
            <w:vMerge w:val="continue"/>
            <w:vAlign w:val="center"/>
          </w:tcPr>
          <w:p w14:paraId="3C367A09">
            <w:pPr>
              <w:jc w:val="center"/>
            </w:pPr>
          </w:p>
        </w:tc>
        <w:tc>
          <w:tcPr>
            <w:tcW w:w="701" w:type="dxa"/>
            <w:vMerge w:val="restart"/>
            <w:vAlign w:val="center"/>
          </w:tcPr>
          <w:p>
            <w:pPr/>
            <w:r>
              <w:t>数字签名证书过期</w:t>
            </w:r>
          </w:p>
        </w:tc>
        <w:tc>
          <w:tcPr>
            <w:tcW w:w="1664" w:type="dxa"/>
            <w:vAlign w:val="center"/>
          </w:tcPr>
          <w:p>
            <w:pPr/>
            <w:r>
              <w:t>参演部队同时上传高清视频</w:t>
            </w:r>
          </w:p>
        </w:tc>
        <w:tc>
          <w:tcPr>
            <w:tcW w:w="598" w:type="dxa"/>
            <w:vMerge w:val="restart"/>
            <w:vAlign w:val="center"/>
          </w:tcPr>
          <w:p>
            <w:pPr/>
            <w:r>
              <w:t>文化宣教阶段</w:t>
            </w:r>
          </w:p>
        </w:tc>
        <w:tc>
          <w:tcPr>
            <w:tcW w:w="742" w:type="dxa"/>
            <w:vMerge w:val="restart"/>
            <w:vAlign w:val="center"/>
          </w:tcPr>
          <w:p>
            <w:pPr/>
            <w:r>
              <w:t>签名验证失败，读者无法确认作者身份</w:t>
            </w:r>
          </w:p>
        </w:tc>
        <w:tc>
          <w:tcPr>
            <w:tcW w:w="754" w:type="dxa"/>
            <w:vMerge w:val="restart"/>
            <w:vAlign w:val="center"/>
          </w:tcPr>
          <w:p>
            <w:pPr/>
            <w:r>
              <w:t>陆星远战略战术高级研究员声誉受损</w:t>
            </w:r>
          </w:p>
        </w:tc>
        <w:tc>
          <w:tcPr>
            <w:tcW w:w="751" w:type="dxa"/>
            <w:vMerge w:val="restart"/>
            <w:vAlign w:val="center"/>
          </w:tcPr>
          <w:p>
            <w:pPr/>
            <w:r>
              <w:t>后续论著发行计划推迟</w:t>
            </w:r>
          </w:p>
        </w:tc>
        <w:tc>
          <w:tcPr>
            <w:tcW w:w="426" w:type="dxa"/>
            <w:vMerge w:val="restart"/>
            <w:vAlign w:val="center"/>
          </w:tcPr>
          <w:p w14:paraId="19C3A7BC">
            <w:pPr>
              <w:jc w:val="center"/>
            </w:pPr>
            <w:r>
              <w:rPr>
                <w:rFonts w:hint="eastAsia" w:ascii="宋体" w:hAnsi="宋体"/>
              </w:rPr>
              <w:t>Ⅲ</w:t>
            </w:r>
          </w:p>
        </w:tc>
        <w:tc>
          <w:tcPr>
            <w:tcW w:w="670" w:type="dxa"/>
            <w:vMerge w:val="restart"/>
            <w:vAlign w:val="center"/>
          </w:tcPr>
          <w:p w14:paraId="27F88A88">
            <w:pPr>
              <w:jc w:val="center"/>
            </w:pPr>
            <w:r>
              <w:rPr>
                <w:rFonts w:hint="eastAsia"/>
              </w:rPr>
              <w:t>E</w:t>
            </w:r>
          </w:p>
        </w:tc>
        <w:tc>
          <w:tcPr>
            <w:tcW w:w="530" w:type="dxa"/>
            <w:vMerge w:val="restart"/>
            <w:vAlign w:val="center"/>
          </w:tcPr>
          <w:p w14:paraId="790DA489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636" w:type="dxa"/>
            <w:vMerge w:val="restart"/>
            <w:vAlign w:val="center"/>
          </w:tcPr>
          <w:p w14:paraId="1ABA523D">
            <w:r>
              <w:rPr>
                <w:rFonts w:hint="eastAsia"/>
              </w:rPr>
              <w:t>可检测、测试</w:t>
            </w:r>
          </w:p>
        </w:tc>
        <w:tc>
          <w:tcPr>
            <w:tcW w:w="941" w:type="dxa"/>
            <w:vMerge w:val="restart"/>
            <w:vAlign w:val="center"/>
          </w:tcPr>
          <w:p>
            <w:pPr/>
            <w:r>
              <w:t>提前30天邮件提醒+自动续签脚本</w:t>
            </w:r>
          </w:p>
        </w:tc>
        <w:tc>
          <w:tcPr>
            <w:tcW w:w="2627" w:type="dxa"/>
            <w:vMerge w:val="restart"/>
            <w:vAlign w:val="center"/>
          </w:tcPr>
          <w:p>
            <w:pPr/>
            <w:r>
              <w:t>北京市海淀区战略支援部机要指挥中心3号楼离线镜像库</w:t>
            </w:r>
          </w:p>
        </w:tc>
        <w:tc>
          <w:tcPr>
            <w:tcW w:w="839" w:type="dxa"/>
            <w:vMerge w:val="restart"/>
            <w:vAlign w:val="center"/>
          </w:tcPr>
          <w:p w14:paraId="4A4841F3">
            <w:pPr>
              <w:jc w:val="center"/>
            </w:pPr>
            <w:r>
              <w:rPr>
                <w:rFonts w:hint="eastAsia"/>
              </w:rPr>
              <w:t>是</w:t>
            </w:r>
          </w:p>
        </w:tc>
      </w:tr>
      <w:tr w14:paraId="37C7F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855" w:type="dxa"/>
            <w:vMerge w:val="continue"/>
          </w:tcPr>
          <w:p w14:paraId="632A4427"/>
        </w:tc>
        <w:tc>
          <w:tcPr>
            <w:tcW w:w="562" w:type="dxa"/>
            <w:vMerge w:val="continue"/>
          </w:tcPr>
          <w:p w14:paraId="695D9A7B"/>
        </w:tc>
        <w:tc>
          <w:tcPr>
            <w:tcW w:w="706" w:type="dxa"/>
            <w:vMerge w:val="continue"/>
          </w:tcPr>
          <w:p w14:paraId="08F0D5FB"/>
        </w:tc>
        <w:tc>
          <w:tcPr>
            <w:tcW w:w="707" w:type="dxa"/>
            <w:vMerge w:val="continue"/>
          </w:tcPr>
          <w:p w14:paraId="2F7A35F4"/>
        </w:tc>
        <w:tc>
          <w:tcPr>
            <w:tcW w:w="701" w:type="dxa"/>
            <w:vMerge w:val="continue"/>
          </w:tcPr>
          <w:p w14:paraId="5331D922"/>
        </w:tc>
        <w:tc>
          <w:tcPr>
            <w:tcW w:w="1664" w:type="dxa"/>
            <w:vAlign w:val="center"/>
          </w:tcPr>
          <w:p>
            <w:pPr/>
            <w:r>
              <w:t>翻译多部古代军事哲学经典著作时未适配新DRM</w:t>
            </w:r>
          </w:p>
        </w:tc>
        <w:tc>
          <w:tcPr>
            <w:tcW w:w="598" w:type="dxa"/>
            <w:vMerge w:val="continue"/>
          </w:tcPr>
          <w:p w14:paraId="119AEA82"/>
        </w:tc>
        <w:tc>
          <w:tcPr>
            <w:tcW w:w="742" w:type="dxa"/>
            <w:vMerge w:val="continue"/>
          </w:tcPr>
          <w:p w14:paraId="24735667"/>
        </w:tc>
        <w:tc>
          <w:tcPr>
            <w:tcW w:w="754" w:type="dxa"/>
            <w:vMerge w:val="continue"/>
          </w:tcPr>
          <w:p w14:paraId="1607B449"/>
        </w:tc>
        <w:tc>
          <w:tcPr>
            <w:tcW w:w="751" w:type="dxa"/>
            <w:vMerge w:val="continue"/>
          </w:tcPr>
          <w:p w14:paraId="6E657A4D"/>
        </w:tc>
        <w:tc>
          <w:tcPr>
            <w:tcW w:w="426" w:type="dxa"/>
            <w:vMerge w:val="continue"/>
          </w:tcPr>
          <w:p w14:paraId="56538733"/>
        </w:tc>
        <w:tc>
          <w:tcPr>
            <w:tcW w:w="670" w:type="dxa"/>
            <w:vMerge w:val="continue"/>
          </w:tcPr>
          <w:p w14:paraId="7D168F1D"/>
        </w:tc>
        <w:tc>
          <w:tcPr>
            <w:tcW w:w="530" w:type="dxa"/>
            <w:vMerge w:val="continue"/>
          </w:tcPr>
          <w:p w14:paraId="4515D503"/>
        </w:tc>
        <w:tc>
          <w:tcPr>
            <w:tcW w:w="636" w:type="dxa"/>
            <w:vMerge w:val="continue"/>
          </w:tcPr>
          <w:p w14:paraId="6CF43BC3"/>
        </w:tc>
        <w:tc>
          <w:tcPr>
            <w:tcW w:w="941" w:type="dxa"/>
            <w:vMerge w:val="continue"/>
          </w:tcPr>
          <w:p w14:paraId="2A0E2D2B"/>
        </w:tc>
        <w:tc>
          <w:tcPr>
            <w:tcW w:w="2627" w:type="dxa"/>
            <w:vMerge w:val="continue"/>
            <w:vAlign w:val="center"/>
          </w:tcPr>
          <w:p w14:paraId="46E4D3AB"/>
        </w:tc>
        <w:tc>
          <w:tcPr>
            <w:tcW w:w="839" w:type="dxa"/>
            <w:vMerge w:val="continue"/>
          </w:tcPr>
          <w:p w14:paraId="7302FB89"/>
        </w:tc>
      </w:tr>
      <w:tr w14:paraId="06055E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855" w:type="dxa"/>
            <w:vMerge w:val="continue"/>
          </w:tcPr>
          <w:p w14:paraId="0891E2A5"/>
        </w:tc>
        <w:tc>
          <w:tcPr>
            <w:tcW w:w="562" w:type="dxa"/>
            <w:vMerge w:val="continue"/>
          </w:tcPr>
          <w:p w14:paraId="0725AA28"/>
        </w:tc>
        <w:tc>
          <w:tcPr>
            <w:tcW w:w="706" w:type="dxa"/>
            <w:vMerge w:val="continue"/>
          </w:tcPr>
          <w:p w14:paraId="3018FF81"/>
        </w:tc>
        <w:tc>
          <w:tcPr>
            <w:tcW w:w="707" w:type="dxa"/>
            <w:vMerge w:val="continue"/>
          </w:tcPr>
          <w:p w14:paraId="7700F03C"/>
        </w:tc>
        <w:tc>
          <w:tcPr>
            <w:tcW w:w="701" w:type="dxa"/>
            <w:vMerge w:val="continue"/>
          </w:tcPr>
          <w:p w14:paraId="14BDF5A5"/>
        </w:tc>
        <w:tc>
          <w:tcPr>
            <w:tcW w:w="1664" w:type="dxa"/>
            <w:vAlign w:val="center"/>
          </w:tcPr>
          <w:p>
            <w:pPr/>
            <w:r>
              <w:t>未在1981-11出生生日前更新证书</w:t>
            </w:r>
          </w:p>
        </w:tc>
        <w:tc>
          <w:tcPr>
            <w:tcW w:w="598" w:type="dxa"/>
            <w:vMerge w:val="continue"/>
          </w:tcPr>
          <w:p w14:paraId="682732F1"/>
        </w:tc>
        <w:tc>
          <w:tcPr>
            <w:tcW w:w="742" w:type="dxa"/>
            <w:vMerge w:val="continue"/>
          </w:tcPr>
          <w:p w14:paraId="3FDAAC90"/>
        </w:tc>
        <w:tc>
          <w:tcPr>
            <w:tcW w:w="754" w:type="dxa"/>
            <w:vMerge w:val="continue"/>
          </w:tcPr>
          <w:p w14:paraId="356E6974"/>
        </w:tc>
        <w:tc>
          <w:tcPr>
            <w:tcW w:w="751" w:type="dxa"/>
            <w:vMerge w:val="continue"/>
          </w:tcPr>
          <w:p w14:paraId="4448AE24"/>
        </w:tc>
        <w:tc>
          <w:tcPr>
            <w:tcW w:w="426" w:type="dxa"/>
            <w:vMerge w:val="continue"/>
          </w:tcPr>
          <w:p w14:paraId="3AB74A9B"/>
        </w:tc>
        <w:tc>
          <w:tcPr>
            <w:tcW w:w="670" w:type="dxa"/>
            <w:vMerge w:val="continue"/>
          </w:tcPr>
          <w:p w14:paraId="3A33D6F5"/>
        </w:tc>
        <w:tc>
          <w:tcPr>
            <w:tcW w:w="530" w:type="dxa"/>
            <w:vMerge w:val="continue"/>
          </w:tcPr>
          <w:p w14:paraId="2B227160"/>
        </w:tc>
        <w:tc>
          <w:tcPr>
            <w:tcW w:w="636" w:type="dxa"/>
            <w:vMerge w:val="continue"/>
          </w:tcPr>
          <w:p w14:paraId="01927C76"/>
        </w:tc>
        <w:tc>
          <w:tcPr>
            <w:tcW w:w="941" w:type="dxa"/>
            <w:vMerge w:val="continue"/>
          </w:tcPr>
          <w:p w14:paraId="687262A0"/>
        </w:tc>
        <w:tc>
          <w:tcPr>
            <w:tcW w:w="2627" w:type="dxa"/>
            <w:vAlign w:val="center"/>
          </w:tcPr>
          <w:p>
            <w:pPr/>
            <w:r>
              <w:t>官方电子信箱lu.xingyuan@guardians.mil.cn一键延期入口</w:t>
            </w:r>
          </w:p>
        </w:tc>
        <w:tc>
          <w:tcPr>
            <w:tcW w:w="839" w:type="dxa"/>
            <w:vMerge w:val="continue"/>
          </w:tcPr>
          <w:p w14:paraId="3D36850A"/>
        </w:tc>
      </w:tr>
    </w:tbl>
    <w:p w14:paraId="52FA400A"/>
    <w:sectPr>
      <w:pgSz w:w="23811" w:h="16838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9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A69"/>
    <w:rsid w:val="00020230"/>
    <w:rsid w:val="00025B16"/>
    <w:rsid w:val="00037737"/>
    <w:rsid w:val="000A54A6"/>
    <w:rsid w:val="001212BA"/>
    <w:rsid w:val="00183E79"/>
    <w:rsid w:val="001F13D7"/>
    <w:rsid w:val="00234B7D"/>
    <w:rsid w:val="002638C5"/>
    <w:rsid w:val="002730E7"/>
    <w:rsid w:val="0033185F"/>
    <w:rsid w:val="003B0903"/>
    <w:rsid w:val="003D6107"/>
    <w:rsid w:val="003E290C"/>
    <w:rsid w:val="00421423"/>
    <w:rsid w:val="004401E4"/>
    <w:rsid w:val="004E38D2"/>
    <w:rsid w:val="0054707D"/>
    <w:rsid w:val="005711EB"/>
    <w:rsid w:val="00576FAC"/>
    <w:rsid w:val="005D17A2"/>
    <w:rsid w:val="006059AC"/>
    <w:rsid w:val="00651AB7"/>
    <w:rsid w:val="00693A5D"/>
    <w:rsid w:val="006973EE"/>
    <w:rsid w:val="006A2C3F"/>
    <w:rsid w:val="006C1C45"/>
    <w:rsid w:val="006F651D"/>
    <w:rsid w:val="00732B50"/>
    <w:rsid w:val="00754454"/>
    <w:rsid w:val="00773452"/>
    <w:rsid w:val="007A3545"/>
    <w:rsid w:val="007D72DE"/>
    <w:rsid w:val="0080726C"/>
    <w:rsid w:val="00830892"/>
    <w:rsid w:val="00940A69"/>
    <w:rsid w:val="00945C35"/>
    <w:rsid w:val="00974017"/>
    <w:rsid w:val="009C7E7C"/>
    <w:rsid w:val="009D75D1"/>
    <w:rsid w:val="00A20E5F"/>
    <w:rsid w:val="00A65DC9"/>
    <w:rsid w:val="00A828C4"/>
    <w:rsid w:val="00AE2859"/>
    <w:rsid w:val="00B159CF"/>
    <w:rsid w:val="00B40CE9"/>
    <w:rsid w:val="00B47C4F"/>
    <w:rsid w:val="00B760D1"/>
    <w:rsid w:val="00B96434"/>
    <w:rsid w:val="00BB19E9"/>
    <w:rsid w:val="00BF0B29"/>
    <w:rsid w:val="00C01DCC"/>
    <w:rsid w:val="00C71179"/>
    <w:rsid w:val="00D6656C"/>
    <w:rsid w:val="00D827E4"/>
    <w:rsid w:val="00DA35EB"/>
    <w:rsid w:val="00DE5309"/>
    <w:rsid w:val="00DE56B9"/>
    <w:rsid w:val="00E01641"/>
    <w:rsid w:val="00E87A33"/>
    <w:rsid w:val="00E967BB"/>
    <w:rsid w:val="00EA5A18"/>
    <w:rsid w:val="00EC5BC7"/>
    <w:rsid w:val="00ED417F"/>
    <w:rsid w:val="00FA425A"/>
    <w:rsid w:val="00FC691C"/>
    <w:rsid w:val="00FD34A7"/>
    <w:rsid w:val="08792D1C"/>
    <w:rsid w:val="0A4422E6"/>
    <w:rsid w:val="283E0FBA"/>
    <w:rsid w:val="3AED5FA8"/>
    <w:rsid w:val="3B0A1E51"/>
    <w:rsid w:val="49C724BE"/>
    <w:rsid w:val="6941113D"/>
    <w:rsid w:val="7F427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2AB6CF4-D5BF-4DBD-ADA8-BD117A2EAB6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136</Words>
  <Characters>140</Characters>
  <Lines>5</Lines>
  <Paragraphs>1</Paragraphs>
  <TotalTime>0</TotalTime>
  <ScaleCrop>false</ScaleCrop>
  <LinksUpToDate>false</LinksUpToDate>
  <CharactersWithSpaces>152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2017-05-04T08:37:00Z</dcterms:created>
  <dc:creator>王亮</dc:creator>
  <cp:lastModifiedBy>BladeζGenji</cp:lastModifiedBy>
  <dcterms:modified xsi:type="dcterms:W3CDTF">2025-12-31T06:07:02Z</dcterms:modified>
  <cp:revision>239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eyJoZGlkIjoiYTNhMGYyY2RiMmUxNTZjYmY4M2Q2NTJmNDQ5NWM0OTQiLCJ1c2VySWQiOiI3NjY4MzYxMjYifQ==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89B412B7A7B34D0F94BA547C6D718727_13</vt:lpwstr>
  </property>
</Properties>
</file>