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文档合规审核报告</w:t>
      </w:r>
    </w:p>
    <w:p>
      <w:r>
        <w:t>生成时间：2026-09-02 04:31:28</w:t>
      </w:r>
    </w:p>
    <w:p/>
    <w:p>
      <w:pPr>
        <w:pStyle w:val="Heading1"/>
      </w:pPr>
      <w:r>
        <w:t>一、审核摘要</w:t>
      </w:r>
    </w:p>
    <w:p>
      <w:r>
        <w:rPr>
          <w:b/>
        </w:rPr>
        <w:t>综合评分：</w:t>
      </w:r>
      <w:r>
        <w:rPr>
          <w:color w:val="FF0000"/>
        </w:rPr>
        <w:t>0 分</w:t>
      </w:r>
    </w:p>
    <w:p>
      <w:r>
        <w:rPr>
          <w:b/>
        </w:rPr>
        <w:t>审核结论：</w:t>
      </w:r>
      <w:r>
        <w:t>存在否决项风险</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状态</w:t>
            </w:r>
          </w:p>
        </w:tc>
        <w:tc>
          <w:tcPr>
            <w:tcW w:type="dxa" w:w="1728"/>
          </w:tcPr>
          <w:p>
            <w:r>
              <w:t>通过</w:t>
            </w:r>
          </w:p>
        </w:tc>
        <w:tc>
          <w:tcPr>
            <w:tcW w:type="dxa" w:w="1728"/>
          </w:tcPr>
          <w:p>
            <w:r>
              <w:t>不合规</w:t>
            </w:r>
          </w:p>
        </w:tc>
        <w:tc>
          <w:tcPr>
            <w:tcW w:type="dxa" w:w="1728"/>
          </w:tcPr>
          <w:p>
            <w:r>
              <w:t>存疑</w:t>
            </w:r>
          </w:p>
        </w:tc>
        <w:tc>
          <w:tcPr>
            <w:tcW w:type="dxa" w:w="1728"/>
          </w:tcPr>
          <w:p>
            <w:r>
              <w:t>待确认</w:t>
            </w:r>
          </w:p>
        </w:tc>
      </w:tr>
      <w:tr>
        <w:tc>
          <w:tcPr>
            <w:tcW w:type="dxa" w:w="1728"/>
          </w:tcPr>
          <w:p>
            <w:r>
              <w:t>数量</w:t>
            </w:r>
          </w:p>
        </w:tc>
        <w:tc>
          <w:tcPr>
            <w:tcW w:type="dxa" w:w="1728"/>
          </w:tcPr>
          <w:p>
            <w:r>
              <w:t>2</w:t>
            </w:r>
          </w:p>
        </w:tc>
        <w:tc>
          <w:tcPr>
            <w:tcW w:type="dxa" w:w="1728"/>
          </w:tcPr>
          <w:p>
            <w:r>
              <w:t>43</w:t>
            </w:r>
          </w:p>
        </w:tc>
        <w:tc>
          <w:tcPr>
            <w:tcW w:type="dxa" w:w="1728"/>
          </w:tcPr>
          <w:p>
            <w:r>
              <w:t>14</w:t>
            </w:r>
          </w:p>
        </w:tc>
        <w:tc>
          <w:tcPr>
            <w:tcW w:type="dxa" w:w="1728"/>
          </w:tcPr>
          <w:p>
            <w:r>
              <w:t>13</w:t>
            </w:r>
          </w:p>
        </w:tc>
      </w:tr>
    </w:tbl>
    <w:p/>
    <w:p>
      <w:r>
        <w:rPr>
          <w:b/>
          <w:color w:val="CF1322"/>
        </w:rPr>
        <w:t>否决项风险：</w:t>
      </w:r>
      <w:r>
        <w:t>投标保证金、报价完整性与算术准确性、信用与禁止投标情形</w:t>
      </w:r>
    </w:p>
    <w:p/>
    <w:p>
      <w:pPr>
        <w:pStyle w:val="Heading1"/>
      </w:pPr>
      <w:r>
        <w:t>二、审核结论详情</w:t>
      </w:r>
    </w:p>
    <w:p>
      <w:pPr>
        <w:pStyle w:val="Heading2"/>
      </w:pPr>
      <w:r>
        <w:t>2.1 否决项</w:t>
      </w:r>
    </w:p>
    <w:p>
      <w:r>
        <w:rPr>
          <w:b/>
        </w:rPr>
        <w:t xml:space="preserve">1. </w:t>
      </w:r>
      <w:r>
        <w:rPr>
          <w:sz w:val="22"/>
        </w:rPr>
        <w:t xml:space="preserve">✗ 不合规 </w:t>
      </w:r>
      <w:r>
        <w:rPr>
          <w:b/>
        </w:rPr>
        <w:t>投标保证金</w:t>
      </w:r>
      <w:r>
        <w:t>：投标保证金比例超过法规上限且未明确从基本账户转出</w:t>
      </w:r>
    </w:p>
    <w:p>
      <w:pPr>
        <w:pStyle w:val="ListBullet"/>
      </w:pPr>
      <w:r>
        <w:t>判定理由：招标文件规定投标保证金为项目估算价的5%，超过《招标投标法实施条例》第二十六条规定的2%上限；同时要求从公司账户转出，而非基本账户，不符合法规要求。保证金形式为网银/银行电汇，符合要求；递交时间为投标截止时间前，符合要求；保证金有效期未在招标文件中明确，无法判断是否与投标有效期一致。另发现‘投标保障金’应为‘投标保证金’。</w:t>
      </w:r>
    </w:p>
    <w:p>
      <w:pPr>
        <w:pStyle w:val="ListBullet"/>
      </w:pPr>
      <w:r>
        <w:rPr>
          <w:b/>
        </w:rPr>
        <w:t>文档证据：</w:t>
      </w:r>
      <w:r>
        <w:t>投标人须知前附表3.4.1：‘投标保障金 | 是否要求投标人递交投标保证金：☑要求 投标保证金的形式：……投标必须通过公司网银或银行电汇方式……投标保证金的金额为项目估算价的5%’；投标人须知3.4.1：‘境内投标人的投标保证金，应当从其公司账户转出并在投标文件中附汇款凭证。’</w:t>
      </w:r>
    </w:p>
    <w:p>
      <w:pPr>
        <w:pStyle w:val="ListBullet"/>
      </w:pPr>
      <w:r>
        <w:t>位置：招标文件 第二章 投标人须知前附表3.4.1、投标人须知3.4.1</w:t>
      </w:r>
    </w:p>
    <w:p>
      <w:pPr>
        <w:pStyle w:val="ListBullet"/>
      </w:pPr>
      <w:r>
        <w:rPr>
          <w:b/>
        </w:rPr>
        <w:t>整改建议：</w:t>
      </w:r>
      <w:r>
        <w:t>将投标保证金比例修改为不超过项目估算价的2%，并明确要求从投标人基本账户转出，同时明确保证金有效期与投标有效期一致。</w:t>
      </w:r>
    </w:p>
    <w:p>
      <w:pPr>
        <w:pStyle w:val="ListBullet"/>
      </w:pPr>
      <w:r>
        <w:rPr>
          <w:b/>
        </w:rPr>
        <w:t>法规依据：</w:t>
      </w:r>
      <w:r>
        <w:t>《中华人民共和国招标投标法实施条例》第二十六条</w:t>
      </w:r>
    </w:p>
    <w:p/>
    <w:p>
      <w:r>
        <w:rPr>
          <w:b/>
        </w:rPr>
        <w:t xml:space="preserve">2. </w:t>
      </w:r>
      <w:r>
        <w:rPr>
          <w:sz w:val="22"/>
        </w:rPr>
        <w:t xml:space="preserve">✗ 不合规 </w:t>
      </w:r>
      <w:r>
        <w:rPr>
          <w:b/>
        </w:rPr>
        <w:t>报价完整性与算术准确性</w:t>
      </w:r>
      <w:r>
        <w:t>：结构化规则命中：报价完整性与算术准确性</w:t>
      </w:r>
    </w:p>
    <w:p>
      <w:pPr>
        <w:pStyle w:val="ListBullet"/>
      </w:pPr>
      <w:r>
        <w:t>判定理由：缺失必含要素「投标总价」</w:t>
      </w:r>
    </w:p>
    <w:p>
      <w:pPr>
        <w:pStyle w:val="ListBullet"/>
      </w:pPr>
      <w:r>
        <w:rPr>
          <w:b/>
        </w:rPr>
        <w:t>文档证据：</w:t>
      </w:r>
      <w:r>
        <w:t>缺失必含要素「投标总价」</w:t>
      </w:r>
    </w:p>
    <w:p>
      <w:pPr>
        <w:pStyle w:val="ListBullet"/>
      </w:pPr>
      <w:r>
        <w:rPr>
          <w:b/>
        </w:rPr>
        <w:t>整改建议：</w:t>
      </w:r>
      <w:r>
        <w:t>请核对并修正上述确定性校验项。</w:t>
      </w:r>
    </w:p>
    <w:p/>
    <w:p>
      <w:r>
        <w:rPr>
          <w:b/>
        </w:rPr>
        <w:t xml:space="preserve">3. </w:t>
      </w:r>
      <w:r>
        <w:rPr>
          <w:sz w:val="22"/>
        </w:rPr>
        <w:t xml:space="preserve">? 待确认 </w:t>
      </w:r>
      <w:r>
        <w:rPr>
          <w:b/>
        </w:rPr>
        <w:t>与招标文件要求的对应性</w:t>
      </w:r>
      <w:r>
        <w:t>：无法核查：待审文件中仅有招标文件，未提供投标文件内容</w:t>
      </w:r>
    </w:p>
    <w:p>
      <w:pPr>
        <w:pStyle w:val="ListBullet"/>
      </w:pPr>
      <w:r>
        <w:t>判定理由：审核规则要求以招标文件为基准核查投标文件的逐项响应关系，但本次提供的待审文件内容仅为招标文件全文（含招标公告、投标人须知、评标办法、合同条款、服务要求、投标文件格式等），未包含任何投标文件正文或附件。因此无法核查投标文件是否逐项响应招标文件实质性要求、引用的招标条款编号是否准确、是否存在答非所问或他项目名称残留等事项。</w:t>
      </w:r>
    </w:p>
    <w:p>
      <w:pPr>
        <w:pStyle w:val="ListBullet"/>
      </w:pPr>
      <w:r>
        <w:rPr>
          <w:b/>
        </w:rPr>
        <w:t>文档证据：</w:t>
      </w:r>
      <w:r>
        <w:t>待审文件内容自【招标文件】开始，至【表格24】结束，全部为招标文件组成部分，未见投标文件内容。</w:t>
      </w:r>
    </w:p>
    <w:p>
      <w:pPr>
        <w:pStyle w:val="ListBullet"/>
      </w:pPr>
      <w:r>
        <w:t>位置：招标文件 全文</w:t>
      </w:r>
    </w:p>
    <w:p>
      <w:pPr>
        <w:pStyle w:val="ListBullet"/>
      </w:pPr>
      <w:r>
        <w:rPr>
          <w:b/>
        </w:rPr>
        <w:t>整改建议：</w:t>
      </w:r>
      <w:r>
        <w:t>请补充提供投标文件全文及附件，以便逐条核查与招标文件的对应性。</w:t>
      </w:r>
    </w:p>
    <w:p/>
    <w:p>
      <w:r>
        <w:rPr>
          <w:b/>
        </w:rPr>
        <w:t xml:space="preserve">4. </w:t>
      </w:r>
      <w:r>
        <w:rPr>
          <w:sz w:val="22"/>
        </w:rPr>
        <w:t xml:space="preserve">? 待确认 </w:t>
      </w:r>
      <w:r>
        <w:rPr>
          <w:b/>
        </w:rPr>
        <w:t>必备文件清单完整性</w:t>
      </w:r>
      <w:r>
        <w:t>：无法核查：未提供投标文件内容</w:t>
      </w:r>
    </w:p>
    <w:p>
      <w:pPr>
        <w:pStyle w:val="ListBullet"/>
      </w:pPr>
      <w:r>
        <w:t>判定理由：招标文件第六章列明了投标文件组成清单（包括投标函、法定代表人身份证明或授权委托书、联合体协议书、投标保证金、商务和技术偏差表、报价表、资格证明文件、服务方案、承诺书等），但待审文件中仅包含招标文件文本，未提供任何投标文件及其附件，因此无法对照清单逐项核查是否缺件或存在空白表格。</w:t>
      </w:r>
    </w:p>
    <w:p>
      <w:pPr>
        <w:pStyle w:val="ListBullet"/>
      </w:pPr>
      <w:r>
        <w:rPr>
          <w:b/>
        </w:rPr>
        <w:t>文档证据：</w:t>
      </w:r>
      <w:r>
        <w:t>招标文件第六章：'投标文件分为《价格文件》和《投标文件》，包括但不限于以下组成内容……'；'一、投标函；二、法定代表人（单位负责人）身份证明……'</w:t>
      </w:r>
    </w:p>
    <w:p>
      <w:pPr>
        <w:pStyle w:val="ListBullet"/>
      </w:pPr>
      <w:r>
        <w:t>位置：招标文件-已脱敏1.docx 第六章 投标文件格式</w:t>
      </w:r>
    </w:p>
    <w:p>
      <w:pPr>
        <w:pStyle w:val="ListBullet"/>
      </w:pPr>
      <w:r>
        <w:rPr>
          <w:b/>
        </w:rPr>
        <w:t>整改建议：</w:t>
      </w:r>
      <w:r>
        <w:t>请提供投标文件全文，以便对照招标文件第六章投标文件格式清单逐项核查完整性。</w:t>
      </w:r>
    </w:p>
    <w:p/>
    <w:p>
      <w:r>
        <w:rPr>
          <w:b/>
        </w:rPr>
        <w:t xml:space="preserve">5. </w:t>
      </w:r>
      <w:r>
        <w:rPr>
          <w:sz w:val="22"/>
        </w:rPr>
        <w:t xml:space="preserve">? 待确认 </w:t>
      </w:r>
      <w:r>
        <w:rPr>
          <w:b/>
        </w:rPr>
        <w:t>签字盖章与法人授权</w:t>
      </w:r>
      <w:r>
        <w:t>：待审文件为招标文件，未包含投标函签署盖章信息，无法核查</w:t>
      </w:r>
    </w:p>
    <w:p>
      <w:pPr>
        <w:pStyle w:val="ListBullet"/>
      </w:pPr>
      <w:r>
        <w:t>判定理由：本次提供的待审文件为招标文件（含投标文件格式要求），并非投标文件本身。规则要求核查投标函签字、盖章及授权委托书等，但文档中不存在任何投标人实际签署的投标函、授权委托书或盖章扫描件，仅有招标文件对签字盖章的要求描述。依据工作准则第3条，文档中找不到相关信息时状态判为unknown。</w:t>
      </w:r>
    </w:p>
    <w:p>
      <w:pPr>
        <w:pStyle w:val="ListBullet"/>
      </w:pPr>
      <w:r>
        <w:rPr>
          <w:b/>
        </w:rPr>
        <w:t>文档证据：</w:t>
      </w:r>
      <w:r>
        <w:t>招标文件第六章投标文件格式中载明：“投标函须由法定代表人（单位负责人）或委托代理人签字……并加盖单位章（单位公章或CA电子签章）”；“授权委托书如无签字及盖章，将被做否决投标处理”。但全文未提供任何投标人已签署的投标文件内容。</w:t>
      </w:r>
    </w:p>
    <w:p>
      <w:pPr>
        <w:pStyle w:val="ListBullet"/>
      </w:pPr>
      <w:r>
        <w:t>位置：招标文件-已脱敏1.docx 第六章 投标文件格式</w:t>
      </w:r>
    </w:p>
    <w:p>
      <w:pPr>
        <w:pStyle w:val="ListBullet"/>
      </w:pPr>
      <w:r>
        <w:rPr>
          <w:b/>
        </w:rPr>
        <w:t>整改建议：</w:t>
      </w:r>
      <w:r>
        <w:t>需补充投标文件原件或扫描件后，方可核查投标函签字盖章、授权委托书及公章一致性等合规性。</w:t>
      </w:r>
    </w:p>
    <w:p/>
    <w:p>
      <w:r>
        <w:rPr>
          <w:b/>
        </w:rPr>
        <w:t xml:space="preserve">6. </w:t>
      </w:r>
      <w:r>
        <w:rPr>
          <w:sz w:val="22"/>
        </w:rPr>
        <w:t xml:space="preserve">? 待确认 </w:t>
      </w:r>
      <w:r>
        <w:rPr>
          <w:b/>
        </w:rPr>
        <w:t>资质证书与等级要求</w:t>
      </w:r>
      <w:r>
        <w:t>：无法核查投标人资质证书提供情况（仅有招标文件，无投标文件）</w:t>
      </w:r>
    </w:p>
    <w:p>
      <w:pPr>
        <w:pStyle w:val="ListBullet"/>
      </w:pPr>
      <w:r>
        <w:t>判定理由：招标文件明确要求投标人须具有矿用设备维修安全一级资质，并提供营业执照、信用报告等资格证明材料。但待审文件仅包含招标文件文本，未包含任何投标文件或附件，无法核查投标人是否提供了相应资质证书、证书等级是否达标、是否在有效期内。</w:t>
      </w:r>
    </w:p>
    <w:p>
      <w:pPr>
        <w:pStyle w:val="ListBullet"/>
      </w:pPr>
      <w:r>
        <w:rPr>
          <w:b/>
        </w:rPr>
        <w:t>文档证据：</w:t>
      </w:r>
      <w:r>
        <w:t>招标公告3.2资格要求2：投标人须具有矿用设备维修安全一级资质；评标办法前附表2.1.2资格评审标准：资格要求2：投标人须具有矿用设备维修安全一级资质。</w:t>
      </w:r>
    </w:p>
    <w:p>
      <w:pPr>
        <w:pStyle w:val="ListBullet"/>
      </w:pPr>
      <w:r>
        <w:t>位置：招标文件-已脱敏1.docx 第一章招标公告第3条/第三章评标办法前附表2.1.2</w:t>
      </w:r>
    </w:p>
    <w:p>
      <w:pPr>
        <w:pStyle w:val="ListBullet"/>
      </w:pPr>
      <w:r>
        <w:rPr>
          <w:b/>
        </w:rPr>
        <w:t>整改建议：</w:t>
      </w:r>
      <w:r>
        <w:t>需补充投标文件及附件后，核查投标人是否提供矿用设备维修安全一级资质证书、营业执照、信用报告等，并验证证书等级、有效期及认证有效性。</w:t>
      </w:r>
    </w:p>
    <w:p/>
    <w:p>
      <w:r>
        <w:rPr>
          <w:b/>
        </w:rPr>
        <w:t xml:space="preserve">7. </w:t>
      </w:r>
      <w:r>
        <w:rPr>
          <w:sz w:val="22"/>
        </w:rPr>
        <w:t xml:space="preserve">✗ 不合规 </w:t>
      </w:r>
      <w:r>
        <w:rPr>
          <w:b/>
        </w:rPr>
        <w:t>信用与禁止投标情形</w:t>
      </w:r>
      <w:r>
        <w:t>：结构化规则命中：信用与禁止投标情形</w:t>
      </w:r>
    </w:p>
    <w:p>
      <w:pPr>
        <w:pStyle w:val="ListBullet"/>
      </w:pPr>
      <w:r>
        <w:t>判定理由：命中禁止性关键词「失信被执行人」：…ov.cn）或各级信用信息共享平台中列入失信被执行人名单；</w:t>
        <w:br/>
        <w:br/>
        <w:t>（17）在近三年内投标人或其法…；命中禁止性关键词「列入失信」：….gov.cn）或各级信用信息共享平台中列入失信被执行人名单；</w:t>
        <w:br/>
        <w:br/>
        <w:t>（17）在近三年内投标…；缺失必含要素「无重大违法记录声明」；缺失必含要素「信用查询记录」</w:t>
      </w:r>
    </w:p>
    <w:p>
      <w:pPr>
        <w:pStyle w:val="ListBullet"/>
      </w:pPr>
      <w:r>
        <w:rPr>
          <w:b/>
        </w:rPr>
        <w:t>文档证据：</w:t>
      </w:r>
      <w:r>
        <w:t>命中禁止性关键词「失信被执行人」：…ov.cn）或各级信用信息共享平台中列入失信被执行人名单；</w:t>
        <w:br/>
        <w:br/>
        <w:t>（17）在近三年内投标人或其法…；命中禁止性关键词「列入失信」：….gov.cn）或各级信用信息共享平台中列入失信被执行人名单；</w:t>
        <w:br/>
        <w:br/>
        <w:t>（17）在近三年内投标…；缺失必含要素「无重大违法记录声明」；缺失必含要素「信用查询记录」</w:t>
      </w:r>
    </w:p>
    <w:p>
      <w:pPr>
        <w:pStyle w:val="ListBullet"/>
      </w:pPr>
      <w:r>
        <w:rPr>
          <w:b/>
        </w:rPr>
        <w:t>整改建议：</w:t>
      </w:r>
      <w:r>
        <w:t>请核对并修正上述确定性校验项。</w:t>
      </w:r>
    </w:p>
    <w:p/>
    <w:p>
      <w:r>
        <w:rPr>
          <w:b/>
        </w:rPr>
        <w:t xml:space="preserve">8. </w:t>
      </w:r>
      <w:r>
        <w:rPr>
          <w:sz w:val="22"/>
        </w:rPr>
        <w:t xml:space="preserve">? 待确认 </w:t>
      </w:r>
      <w:r>
        <w:rPr>
          <w:b/>
        </w:rPr>
        <w:t>营业执照与经营范围</w:t>
      </w:r>
      <w:r>
        <w:t>：无法核查投标人营业执照及经营范围</w:t>
      </w:r>
    </w:p>
    <w:p>
      <w:pPr>
        <w:pStyle w:val="ListBullet"/>
      </w:pPr>
      <w:r>
        <w:t>判定理由：待审文件仅包含招标文件文本，未提供任何投标文件内容，因此无法核查投标人是否提供营业执照副本复印件并加盖公章、营业执照是否在有效期内、经营范围是否覆盖招标标的、投标人名称与营业执照/公章/投标函是否一致。</w:t>
      </w:r>
    </w:p>
    <w:p>
      <w:pPr>
        <w:pStyle w:val="ListBullet"/>
      </w:pPr>
      <w:r>
        <w:rPr>
          <w:b/>
        </w:rPr>
        <w:t>文档证据：</w:t>
      </w:r>
      <w:r>
        <w:t>待审文件为【招标文件】招标文件-已脱敏1.docx，其中仅有招标公告、投标人须知、评标办法、合同条款、服务要求、投标文件格式等招标文件内容，未包含投标人提交的营业执照等资格证明文件。</w:t>
      </w:r>
    </w:p>
    <w:p>
      <w:pPr>
        <w:pStyle w:val="ListBullet"/>
      </w:pPr>
      <w:r>
        <w:t>位置：招标文件-已脱敏1.docx 全文</w:t>
      </w:r>
    </w:p>
    <w:p>
      <w:pPr>
        <w:pStyle w:val="ListBullet"/>
      </w:pPr>
      <w:r>
        <w:rPr>
          <w:b/>
        </w:rPr>
        <w:t>整改建议：</w:t>
      </w:r>
      <w:r>
        <w:t>需补充提供投标文件（含营业执照副本复印件、公章、投标函等）后方可进行该项核查。</w:t>
      </w:r>
    </w:p>
    <w:p/>
    <w:p>
      <w:r>
        <w:rPr>
          <w:b/>
        </w:rPr>
        <w:t xml:space="preserve">9. </w:t>
      </w:r>
      <w:r>
        <w:rPr>
          <w:sz w:val="22"/>
        </w:rPr>
        <w:t xml:space="preserve">? 待确认 </w:t>
      </w:r>
      <w:r>
        <w:rPr>
          <w:b/>
        </w:rPr>
        <w:t>技术参数响应与偏离</w:t>
      </w:r>
      <w:r>
        <w:t>：无法核查投标文件技术参数响应情况（未提供投标文件）</w:t>
      </w:r>
    </w:p>
    <w:p>
      <w:pPr>
        <w:pStyle w:val="ListBullet"/>
      </w:pPr>
      <w:r>
        <w:t>判定理由：待审文件仅为招标文件，未包含任何投标文件内容，无法核查投标人是否提供技术参数偏离表、是否逐项响应、带星号条款是否满足等。</w:t>
      </w:r>
    </w:p>
    <w:p>
      <w:pPr>
        <w:pStyle w:val="ListBullet"/>
      </w:pPr>
      <w:r>
        <w:rPr>
          <w:b/>
        </w:rPr>
        <w:t>文档证据：</w:t>
      </w:r>
      <w:r>
        <w:t>招标文件第六章要求提供“商务和技术偏差表”，其中包含“关键商务和技术指标响应偏离表（“*”号技术条款需要逐条响应列出）”，但未提供投标文件内容。</w:t>
      </w:r>
    </w:p>
    <w:p>
      <w:pPr>
        <w:pStyle w:val="ListBullet"/>
      </w:pPr>
      <w:r>
        <w:t>位置：招标文件 第六章 投标文件格式</w:t>
      </w:r>
    </w:p>
    <w:p>
      <w:pPr>
        <w:pStyle w:val="ListBullet"/>
      </w:pPr>
      <w:r>
        <w:rPr>
          <w:b/>
        </w:rPr>
        <w:t>整改建议：</w:t>
      </w:r>
      <w:r>
        <w:t>需补充投标文件后重新审核。</w:t>
      </w:r>
    </w:p>
    <w:p/>
    <w:p>
      <w:pPr>
        <w:pStyle w:val="Heading2"/>
      </w:pPr>
      <w:r>
        <w:t>2.2 重要</w:t>
      </w:r>
    </w:p>
    <w:p>
      <w:r>
        <w:rPr>
          <w:b/>
        </w:rPr>
        <w:t xml:space="preserve">1. </w:t>
      </w:r>
      <w:r>
        <w:rPr>
          <w:sz w:val="22"/>
        </w:rPr>
        <w:t xml:space="preserve">? 待确认 </w:t>
      </w:r>
      <w:r>
        <w:rPr>
          <w:b/>
        </w:rPr>
        <w:t>付款条件与合同条款响应</w:t>
      </w:r>
      <w:r>
        <w:t>：无法核查：缺少投标文件，无法判断付款条件与合同条款响应</w:t>
      </w:r>
    </w:p>
    <w:p>
      <w:pPr>
        <w:pStyle w:val="ListBullet"/>
      </w:pPr>
      <w:r>
        <w:t>判定理由：待审文件仅为招标文件文本，未包含任何投标文件内容。招标文件第五章载明付款方式：甲方每月根据实际发运量及考核结果审查费用，每月支付一次；乙方每月5日前办理结算并提供发票；甲方收到税票后30日内付款。第四章合同条款为模板格式，注明“具体条款以双方协商签订为准”。因缺少投标文件，无法核查投标人对付款条件、违约责任、验收条款是否接受或存在实质性偏离。</w:t>
      </w:r>
    </w:p>
    <w:p>
      <w:pPr>
        <w:pStyle w:val="ListBullet"/>
      </w:pPr>
      <w:r>
        <w:rPr>
          <w:b/>
        </w:rPr>
        <w:t>文档证据：</w:t>
      </w:r>
      <w:r>
        <w:t>招标文件第五章2.2付款方式：“甲方每月根据实际汽车定量装车站+铁路快速装车站发运量，以及各项考核奖罚结果，对乙方所报费用进行审查，并作为向乙方拨付承包费用的依据，每月支付一次。”“甲方应于收到乙方相关结算税票之后的30日内向乙方付款。”第四章合同条款：“此合同为模板格式具体条款以双方协商签订为准”。</w:t>
      </w:r>
    </w:p>
    <w:p>
      <w:pPr>
        <w:pStyle w:val="ListBullet"/>
      </w:pPr>
      <w:r>
        <w:t>位置：招标文件-已脱敏1.docx 第五章 服务要求 2.2 付款方式；第四章 合同条款</w:t>
      </w:r>
    </w:p>
    <w:p>
      <w:pPr>
        <w:pStyle w:val="ListBullet"/>
      </w:pPr>
      <w:r>
        <w:rPr>
          <w:b/>
        </w:rPr>
        <w:t>整改建议：</w:t>
      </w:r>
      <w:r>
        <w:t>补充投标文件（投标函、商务和技术偏差表、服务方案等）后，再核查投标人对付款条件、违约责任、验收条款的响应情况。</w:t>
      </w:r>
    </w:p>
    <w:p/>
    <w:p>
      <w:r>
        <w:rPr>
          <w:b/>
        </w:rPr>
        <w:t xml:space="preserve">2. </w:t>
      </w:r>
      <w:r>
        <w:rPr>
          <w:sz w:val="22"/>
        </w:rPr>
        <w:t xml:space="preserve">? 待确认 </w:t>
      </w:r>
      <w:r>
        <w:rPr>
          <w:b/>
        </w:rPr>
        <w:t>投标有效期与工期承诺</w:t>
      </w:r>
      <w:r>
        <w:t>：无法核查投标有效期与工期承诺（未提供投标文件）</w:t>
      </w:r>
    </w:p>
    <w:p>
      <w:pPr>
        <w:pStyle w:val="ListBullet"/>
      </w:pPr>
      <w:r>
        <w:t>判定理由：待审文件仅包含招标文件，未包含任何投标文件内容。招标文件要求投标有效期为120天（见投标人须知前附表3.3.1），服务期为2022年12月1日至2024年11月30日（见招标公告2.3及第五章三、承包期限）。但投标文件中关于投标有效期、交付工期、质保期及售后服务承诺的响应情况均无法获取，故无法判断是否满足招标要求。</w:t>
      </w:r>
    </w:p>
    <w:p>
      <w:pPr>
        <w:pStyle w:val="ListBullet"/>
      </w:pPr>
      <w:r>
        <w:rPr>
          <w:b/>
        </w:rPr>
        <w:t>文档证据：</w:t>
      </w:r>
      <w:r>
        <w:t>招标文件第二章投标人须知前附表3.3.1：'投标有效期 120天'；招标公告2.3：'服务期：项目自2022年12月01日起始，至2024年11月30日止，承包期限为二年。'</w:t>
      </w:r>
    </w:p>
    <w:p>
      <w:pPr>
        <w:pStyle w:val="ListBullet"/>
      </w:pPr>
      <w:r>
        <w:t>位置：招标文件-已脱敏1.docx 第二章投标人须知前附表/第一章招标公告</w:t>
      </w:r>
    </w:p>
    <w:p>
      <w:pPr>
        <w:pStyle w:val="ListBullet"/>
      </w:pPr>
      <w:r>
        <w:rPr>
          <w:b/>
        </w:rPr>
        <w:t>整改建议：</w:t>
      </w:r>
      <w:r>
        <w:t>请补充投标文件，以便核查投标有效期、工期承诺、质保期及售后服务承诺是否满足招标文件要求。</w:t>
      </w:r>
    </w:p>
    <w:p/>
    <w:p>
      <w:r>
        <w:rPr>
          <w:b/>
        </w:rPr>
        <w:t xml:space="preserve">3. </w:t>
      </w:r>
      <w:r>
        <w:rPr>
          <w:sz w:val="22"/>
        </w:rPr>
        <w:t xml:space="preserve">✗ 不合规 </w:t>
      </w:r>
      <w:r>
        <w:rPr>
          <w:b/>
        </w:rPr>
        <w:t>跨文件信息一致性</w:t>
      </w:r>
      <w:r>
        <w:t>：招标文件内部存在多处关键信息不一致</w:t>
      </w:r>
    </w:p>
    <w:p>
      <w:pPr>
        <w:pStyle w:val="ListBullet"/>
      </w:pPr>
      <w:r>
        <w:t>判定理由：核查发现以下矛盾：1. 招标编号不一致：封面为“CCT355426”，招标公告为“CCTC31223426”；2. 资格要求错位：招标公告资格要求3为“仅接受营业执照经营范围首段为‘房屋建筑工程施工’的企业投标”，而评标办法前附表资格评审标准中资格要求3却为“投标人须在‘信用中国’网站未被列入重点关注名单”，且未体现经营范围要求；3. 技术评分标准分值矛盾：评标办法前附表写明“实施方案（35分）”，但评分标准却为“服务方案较优得28-40分”，超出35分上限；4. 报价表计算公式错误：分项报价表“总计”栏写“*1.13%（含税）”，与“增值税税率按13%计算”矛盾，应为乘以1.13而非1.13%；5. 投标人须知前附表10.2要求“投标人需在本地设有子公司”，而评标办法前附表资格评审标准中“地域要求”为“非本地企业投标，需提供更加严格的信用报告”，两者要求不一致。</w:t>
      </w:r>
    </w:p>
    <w:p>
      <w:pPr>
        <w:pStyle w:val="ListBullet"/>
      </w:pPr>
      <w:r>
        <w:rPr>
          <w:b/>
        </w:rPr>
        <w:t>文档证据：</w:t>
      </w:r>
      <w:r>
        <w:t>封面“招标编号：CCT355426”；招标公告“项目编号：CCTC31223426”；招标公告“资格要求3：仅接受营业执照经营范围首段为‘房屋建筑工程施工’的企业投标”；评标办法前附表“资格要求3：投标人须在‘信用中国’网站...”；评标办法前附表“实施方案（35分）”与“服务方案较优得28-40分”；分项报价表“总计：（固定项目 万元/年+ 元/吨*汽车装车站发运量200万吨/年+ 元/吨*火车装车站发运量300万吨/年）*1.13%（含税）”及“增值税税率按13%计算”；前附表10.2“投标人需在本地设有子公司”与评标办法前附表“地域要求：非本地企业投标，需提供更加严格的信用报告”。</w:t>
      </w:r>
    </w:p>
    <w:p>
      <w:pPr>
        <w:pStyle w:val="ListBullet"/>
      </w:pPr>
      <w:r>
        <w:t>位置：招标文件封面、第一章招标公告、第三章评标办法前附表、第六章投标文件格式（分项报价表）</w:t>
      </w:r>
    </w:p>
    <w:p>
      <w:pPr>
        <w:pStyle w:val="ListBullet"/>
      </w:pPr>
      <w:r>
        <w:rPr>
          <w:b/>
        </w:rPr>
        <w:t>整改建议：</w:t>
      </w:r>
      <w:r>
        <w:t>统一招标编号；重新梳理并对应招标公告与评标办法中的资格要求；修正实施方案评分分值为0-35分或调整总分构成；将报价表总计公式改为乘以1.13；统一本地子公司要求与地域要求，避免相互矛盾。</w:t>
      </w:r>
    </w:p>
    <w:p/>
    <w:p>
      <w:r>
        <w:rPr>
          <w:b/>
        </w:rPr>
        <w:t xml:space="preserve">4. </w:t>
      </w:r>
      <w:r>
        <w:rPr>
          <w:sz w:val="22"/>
        </w:rPr>
        <w:t xml:space="preserve">? 待确认 </w:t>
      </w:r>
      <w:r>
        <w:rPr>
          <w:b/>
        </w:rPr>
        <w:t>联合体投标合规性</w:t>
      </w:r>
      <w:r>
        <w:t>：招标文件明确不接受联合体投标，但缺少投标文件无法核查联合体协议及重复投标情况</w:t>
      </w:r>
    </w:p>
    <w:p>
      <w:pPr>
        <w:pStyle w:val="ListBullet"/>
      </w:pPr>
      <w:r>
        <w:t>判定理由：招标公告中明确载明“本项目不接受联合体投标”，投标人须知前附表1.4.2亦指向招标公告。因此，若投标人组成联合体将不符合招标文件要求。但本次审核仅提供招标文件，未提供投标文件，无法核查投标人是否提交联合体协议、是否明确牵头人与分工、联合体成员是否另行单独投标或参加其他联合体等事项。</w:t>
      </w:r>
    </w:p>
    <w:p>
      <w:pPr>
        <w:pStyle w:val="ListBullet"/>
      </w:pPr>
      <w:r>
        <w:rPr>
          <w:b/>
        </w:rPr>
        <w:t>文档证据：</w:t>
      </w:r>
      <w:r>
        <w:t>招标公告：“本项目是否接受联合体投标：本项目不接受联合体投标。”；投标人须知前附表：“1.4.2 是否接受联合体投标 | 见招标公告/投标邀请书”。</w:t>
      </w:r>
    </w:p>
    <w:p>
      <w:pPr>
        <w:pStyle w:val="ListBullet"/>
      </w:pPr>
      <w:r>
        <w:t>位置：招标文件 第一章 招标公告 / 第二章 投标人须知前附表</w:t>
      </w:r>
    </w:p>
    <w:p>
      <w:pPr>
        <w:pStyle w:val="ListBullet"/>
      </w:pPr>
      <w:r>
        <w:rPr>
          <w:b/>
        </w:rPr>
        <w:t>整改建议：</w:t>
      </w:r>
      <w:r>
        <w:t>建议补充投标文件进行核查；若投标文件包含联合体协议书，则因招标文件明确不接受联合体，应依据招标文件否决其投标。</w:t>
      </w:r>
    </w:p>
    <w:p/>
    <w:p>
      <w:r>
        <w:rPr>
          <w:b/>
        </w:rPr>
        <w:t xml:space="preserve">5. </w:t>
      </w:r>
      <w:r>
        <w:rPr>
          <w:sz w:val="22"/>
        </w:rPr>
        <w:t xml:space="preserve">? 待确认 </w:t>
      </w:r>
      <w:r>
        <w:rPr>
          <w:b/>
        </w:rPr>
        <w:t>业绩与案例证明</w:t>
      </w:r>
      <w:r>
        <w:t>：无法核查投标人业绩与案例证明（未提供投标文件）</w:t>
      </w:r>
    </w:p>
    <w:p>
      <w:pPr>
        <w:pStyle w:val="ListBullet"/>
      </w:pPr>
      <w:r>
        <w:t>判定理由：待审文件仅包含招标文件，未包含任何投标文件内容，无法核查投标人业绩数量、金额、时间区间及证明材料。招标文件中业绩评审标准要求提供近五年类似项目情况表并附合同协议书或使用证明或中标通知书，但无投标文件可核对。</w:t>
      </w:r>
    </w:p>
    <w:p>
      <w:pPr>
        <w:pStyle w:val="ListBullet"/>
      </w:pPr>
      <w:r>
        <w:rPr>
          <w:b/>
        </w:rPr>
        <w:t>文档证据：</w:t>
      </w:r>
      <w:r>
        <w:t>招标文件评标办法前附表2.2.4（1）商务评分标准-业绩（15分）：'对投标文件中提供所投服务的用户实际使用业绩进行评审，业绩最好得9-15分；业绩一般得1-8分（需提供近五年完成的类似项目情况表并附合同协议书或经用户单位盖章的使用证明或中标通知书）'</w:t>
      </w:r>
    </w:p>
    <w:p>
      <w:pPr>
        <w:pStyle w:val="ListBullet"/>
      </w:pPr>
      <w:r>
        <w:t>位置：招标文件 第三章评标办法 评标办法前附表 2.2.4（1）</w:t>
      </w:r>
    </w:p>
    <w:p>
      <w:pPr>
        <w:pStyle w:val="ListBullet"/>
      </w:pPr>
      <w:r>
        <w:rPr>
          <w:b/>
        </w:rPr>
        <w:t>整改建议：</w:t>
      </w:r>
      <w:r>
        <w:t>需补充投标文件，核查其中近年完成的类似项目情况表、合同协议书或使用证明等业绩证明材料。</w:t>
      </w:r>
    </w:p>
    <w:p/>
    <w:p>
      <w:r>
        <w:rPr>
          <w:b/>
        </w:rPr>
        <w:t xml:space="preserve">6. </w:t>
      </w:r>
      <w:r>
        <w:rPr>
          <w:sz w:val="22"/>
        </w:rPr>
        <w:t xml:space="preserve">? 待确认 </w:t>
      </w:r>
      <w:r>
        <w:rPr>
          <w:b/>
        </w:rPr>
        <w:t>项目人员配置与资格</w:t>
      </w:r>
      <w:r>
        <w:t>：无法核查：未提供投标文件，无法判断项目人员配置与资格合规性</w:t>
      </w:r>
    </w:p>
    <w:p>
      <w:pPr>
        <w:pStyle w:val="ListBullet"/>
      </w:pPr>
      <w:r>
        <w:t>判定理由：待审文件内容仅为招标文件，未包含任何投标文件或附件。规则要求核查项目经理及关键岗位人员的资格、社保、无兼职承诺等，但缺少投标人实际响应资料，无法进行比对和验证。</w:t>
      </w:r>
    </w:p>
    <w:p>
      <w:pPr>
        <w:pStyle w:val="ListBullet"/>
      </w:pPr>
      <w:r>
        <w:rPr>
          <w:b/>
        </w:rPr>
        <w:t>文档证据：</w:t>
      </w:r>
      <w:r>
        <w:t>招标文件第五章服务要求中提及“乙方责任：提供全体承包人员名单以及个人相关资料，以及拟定的人员岗位配置情况”，但未提供投标文件中的实际人员配置信息。</w:t>
      </w:r>
    </w:p>
    <w:p>
      <w:pPr>
        <w:pStyle w:val="ListBullet"/>
      </w:pPr>
      <w:r>
        <w:t>位置：招标文件 第五章 服务要求 四、双方职责 4.2.10</w:t>
      </w:r>
    </w:p>
    <w:p>
      <w:pPr>
        <w:pStyle w:val="ListBullet"/>
      </w:pPr>
      <w:r>
        <w:rPr>
          <w:b/>
        </w:rPr>
        <w:t>整改建议：</w:t>
      </w:r>
      <w:r>
        <w:t>请补充投标文件及其附件，特别是项目组织机构及人员配置相关章节，以便核查项目经理资格证书、关键岗位人员数量与职称、社保缴纳证明及无兼职承诺等。</w:t>
      </w:r>
    </w:p>
    <w:p/>
    <w:p>
      <w:r>
        <w:rPr>
          <w:b/>
        </w:rPr>
        <w:t xml:space="preserve">7. </w:t>
      </w:r>
      <w:r>
        <w:rPr>
          <w:sz w:val="22"/>
        </w:rPr>
        <w:t xml:space="preserve">? 待确认 </w:t>
      </w:r>
      <w:r>
        <w:rPr>
          <w:b/>
        </w:rPr>
        <w:t>实施方案与服务承诺</w:t>
      </w:r>
      <w:r>
        <w:t>：未在招标文件中找到投标人实施方案相关内容</w:t>
      </w:r>
    </w:p>
    <w:p>
      <w:pPr>
        <w:pStyle w:val="ListBullet"/>
      </w:pPr>
      <w:r>
        <w:t>判定理由：待审文件为招标文件，其中仅包含招标要求、服务要求、评标办法及投标文件格式等，未包含任何投标人编制的实施方案、进度计划、质量保障与培训运维方案。因此无法核查实施方案完整性、进度计划与工期匹配性及质量保障等方案。</w:t>
      </w:r>
    </w:p>
    <w:p>
      <w:pPr>
        <w:pStyle w:val="ListBullet"/>
      </w:pPr>
      <w:r>
        <w:rPr>
          <w:b/>
        </w:rPr>
        <w:t>文档证据：</w:t>
      </w:r>
      <w:r>
        <w:t>招标文件第六章投标文件格式中列有“九、服务方案”，但该部分为空白格式，要求投标人提供；第五章服务要求中规定了承包范围、双方职责等，但未涉及具体实施方案。</w:t>
      </w:r>
    </w:p>
    <w:p>
      <w:pPr>
        <w:pStyle w:val="ListBullet"/>
      </w:pPr>
      <w:r>
        <w:t>位置：招标文件-已脱敏1.docx 第六章 投标文件格式</w:t>
      </w:r>
    </w:p>
    <w:p>
      <w:pPr>
        <w:pStyle w:val="ListBullet"/>
      </w:pPr>
      <w:r>
        <w:rPr>
          <w:b/>
        </w:rPr>
        <w:t>整改建议：</w:t>
      </w:r>
      <w:r>
        <w:t>应提供投标文件以核查实施方案与服务承诺的完整性。</w:t>
      </w:r>
    </w:p>
    <w:p/>
    <w:p>
      <w:pPr>
        <w:pStyle w:val="Heading2"/>
      </w:pPr>
      <w:r>
        <w:t>2.3 一般</w:t>
      </w:r>
    </w:p>
    <w:p>
      <w:r>
        <w:rPr>
          <w:b/>
        </w:rPr>
        <w:t xml:space="preserve">1. </w:t>
      </w:r>
      <w:r>
        <w:rPr>
          <w:sz w:val="22"/>
        </w:rPr>
        <w:t xml:space="preserve">? 待确认 </w:t>
      </w:r>
      <w:r>
        <w:rPr>
          <w:b/>
        </w:rPr>
        <w:t>格式规范与编制要求</w:t>
      </w:r>
      <w:r>
        <w:t>：无法核查投标文件格式合规性（待审文件为招标文件）</w:t>
      </w:r>
    </w:p>
    <w:p>
      <w:pPr>
        <w:pStyle w:val="ListBullet"/>
      </w:pPr>
      <w:r>
        <w:t>判定理由：待审文件为招标文件，未包含任何投标文件内容，无法核查投标文件是否按招标文件规定格式编制、目录页码是否齐全、正副本份数及装订密封要求是否满足、是否区分商务标与技术标等。招标文件第六章提供了投标文件格式模板，但无投标文件可供比对。</w:t>
      </w:r>
    </w:p>
    <w:p>
      <w:pPr>
        <w:pStyle w:val="ListBullet"/>
      </w:pPr>
      <w:r>
        <w:rPr>
          <w:b/>
        </w:rPr>
        <w:t>文档证据：</w:t>
      </w:r>
      <w:r>
        <w:t>第六章 投标文件格式 投标文件分为《价格文件》和《投标文件》，包括但不限于以下组成内容，本部分有提供格式文件的请按格式要求制作。</w:t>
      </w:r>
    </w:p>
    <w:p>
      <w:pPr>
        <w:pStyle w:val="ListBullet"/>
      </w:pPr>
      <w:r>
        <w:t>位置：招标文件 第六章</w:t>
      </w:r>
    </w:p>
    <w:p>
      <w:pPr>
        <w:pStyle w:val="ListBullet"/>
      </w:pPr>
      <w:r>
        <w:rPr>
          <w:b/>
        </w:rPr>
        <w:t>整改建议：</w:t>
      </w:r>
      <w:r>
        <w:t>请提供投标文件正本及副本，以便核查格式规范与编制要求。</w:t>
      </w:r>
    </w:p>
    <w:p/>
    <w:p>
      <w:r>
        <w:rPr>
          <w:b/>
        </w:rPr>
        <w:t xml:space="preserve">2. </w:t>
      </w:r>
      <w:r>
        <w:rPr>
          <w:sz w:val="22"/>
        </w:rPr>
        <w:t xml:space="preserve">⚠ 存疑 </w:t>
      </w:r>
      <w:r>
        <w:rPr>
          <w:b/>
        </w:rPr>
        <w:t>附件完整性与引用一致性</w:t>
      </w:r>
      <w:r>
        <w:t>：附件齐全但正文引用编号与附件实际编号不一致</w:t>
      </w:r>
    </w:p>
    <w:p>
      <w:pPr>
        <w:pStyle w:val="ListBullet"/>
      </w:pPr>
      <w:r>
        <w:t>判定理由：招标文件第五章末尾列出了附件1至附件4，且附件1、2、3、4的内容均已提供，附件内容与名称匹配。但正文中引用安全管理协议时写为“见附件一”，而实际附件编号为“附件3”，编号引用不一致；同时正文引用名称为“安全管理协议”，附件实际名称为“某选煤厂装车站委托维护修理安全管理协议”，名称不完全一致。</w:t>
      </w:r>
    </w:p>
    <w:p>
      <w:pPr>
        <w:pStyle w:val="ListBullet"/>
      </w:pPr>
      <w:r>
        <w:rPr>
          <w:b/>
        </w:rPr>
        <w:t>文档证据：</w:t>
      </w:r>
      <w:r>
        <w:t>第五章服务要求中：“乙方要与甲方签订《安全管理协议》（见附件一）。”；第五章末尾：“附件3：《某选煤厂装车站委托维护修理安全管理协议》”。</w:t>
      </w:r>
    </w:p>
    <w:p>
      <w:pPr>
        <w:pStyle w:val="ListBullet"/>
      </w:pPr>
      <w:r>
        <w:t>位置：招标文件 第五章 服务要求</w:t>
      </w:r>
    </w:p>
    <w:p>
      <w:pPr>
        <w:pStyle w:val="ListBullet"/>
      </w:pPr>
      <w:r>
        <w:rPr>
          <w:b/>
        </w:rPr>
        <w:t>整改建议：</w:t>
      </w:r>
      <w:r>
        <w:t>将正文中的“附件一”修改为“附件3”，并统一附件名称引用，确保编号和名称与附件列表一致。</w:t>
      </w:r>
    </w:p>
    <w:p/>
    <w:p>
      <w:r>
        <w:rPr>
          <w:b/>
        </w:rPr>
        <w:t xml:space="preserve">3. </w:t>
      </w:r>
      <w:r>
        <w:rPr>
          <w:sz w:val="22"/>
        </w:rPr>
        <w:t xml:space="preserve">✗ 不合规 </w:t>
      </w:r>
      <w:r>
        <w:rPr>
          <w:b/>
        </w:rPr>
        <w:t>数字、日期、金额格式统一性</w:t>
      </w:r>
      <w:r>
        <w:t>：数字、日期、金额格式存在多处不统一</w:t>
      </w:r>
    </w:p>
    <w:p>
      <w:pPr>
        <w:pStyle w:val="ListBullet"/>
      </w:pPr>
      <w:r>
        <w:t>判定理由：核查发现：1）日期格式不统一，如“2022年09月”与“2022年9月28日”月份前导零不一致，“2022年12月01日”与“2022年10月19日”虽均为两位但“09”与“9”混用；2）金额单位混用，如“800元/标段”与“万元/年”、“元/吨”并存，且报价表总计公式中“*1.13%”与税金行“增值税税率按13%计算”不一致；3）百分比小数点位数不一致，如“1.13%”与“13%”、“0.01%”等；4）数字使用中中文数字与阿拉伯数字混用，如“承包期限为二年”与“5人”、“壹式柒份”与“两份”等；5）投标有效期单位“120天”与正文“120日”混用。</w:t>
      </w:r>
    </w:p>
    <w:p>
      <w:pPr>
        <w:pStyle w:val="ListBullet"/>
      </w:pPr>
      <w:r>
        <w:rPr>
          <w:b/>
        </w:rPr>
        <w:t>文档证据：</w:t>
      </w:r>
      <w:r>
        <w:t>原文摘录：“2022年09月”、“2022年9月28日9：00至2022年10月18日16：00”、“2022年12月01日”、“（固定项目    万元/年+      元/吨*汽车装车站发运量200万吨/年+      元/吨*火车装车站发运量300万吨/年）*1.13%（含税）”、“增值税税率按13%计算”、“承包期限为二年”、“投标有效期为120日”、“投标有效期 120天”。</w:t>
      </w:r>
    </w:p>
    <w:p>
      <w:pPr>
        <w:pStyle w:val="ListBullet"/>
      </w:pPr>
      <w:r>
        <w:t>位置：招标文件 封面、第一章招标公告、第五章服务要求、第二章投标人须知前附表、第六章投标文件格式</w:t>
      </w:r>
    </w:p>
    <w:p>
      <w:pPr>
        <w:pStyle w:val="ListBullet"/>
      </w:pPr>
      <w:r>
        <w:rPr>
          <w:b/>
        </w:rPr>
        <w:t>整改建议：</w:t>
      </w:r>
      <w:r>
        <w:t>统一日期格式（如统一为YYYY年MM月DD日，月份日期均用两位数字）；统一金额单位（如统一使用“元”或“万元”，并明确换算）；统一百分比写法（如统一为13%，避免1.13%）；统一数字使用（如除合同金额大写外，一律使用阿拉伯数字）；统一投标有效期单位（如统一为“日”）。</w:t>
      </w:r>
    </w:p>
    <w:p/>
    <w:p>
      <w:r>
        <w:rPr>
          <w:b/>
        </w:rPr>
        <w:t xml:space="preserve">4. </w:t>
      </w:r>
      <w:r>
        <w:rPr>
          <w:sz w:val="22"/>
        </w:rPr>
        <w:t xml:space="preserve">⚠ 存疑 </w:t>
      </w:r>
      <w:r>
        <w:rPr>
          <w:b/>
        </w:rPr>
        <w:t>引用与出处准确性</w:t>
      </w:r>
      <w:r>
        <w:t>：部分引用法规/标准未标注完整出处</w:t>
      </w:r>
    </w:p>
    <w:p>
      <w:pPr>
        <w:pStyle w:val="ListBullet"/>
      </w:pPr>
      <w:r>
        <w:t>判定理由：核查招标文件中引用的法律法规、标准及合同编号：1）《中华人民共和国招标投标法》《中华人民共和国招标投标法实施条例》名称准确，但《中国某能源集团有限公司招标采购实施办法》未标注文号或版本；2）《电子招标投标办法》第三十一条引用准确；3）《生产经营单位安全培训规定》名称准确，但《选煤厂安全规程》未标注标准编号与版本；4）《某集团煤炭洗选安全质量标准化标准及考核评级细则》未标注版本；5）合同编号“某华晋4）号”存在括号不匹配，引用格式不严谨。上述问题属于引用出处不完整，但未发现法规名称或条款编号实质性错误。</w:t>
      </w:r>
    </w:p>
    <w:p>
      <w:pPr>
        <w:pStyle w:val="ListBullet"/>
      </w:pPr>
      <w:r>
        <w:rPr>
          <w:b/>
        </w:rPr>
        <w:t>文档证据：</w:t>
      </w:r>
      <w:r>
        <w:t>1）“根据《中华人民共和国招标投标法》《中华人民共和国招标投标法实施条例》《中国某能源集团有限公司招标采购实施办法》等有关法律、法规、规章和相关规定”（第二章1.1.1）；2）“严格按照《生产经营单位安全培训规定》和《选煤厂安全规程》及委托方要求”（第五章附件3第九条）；3）“《某公司选煤厂汽车定量装车系统设备订货合同（合同编号:某华晋4）号）》”（第五章一、承包范围）。</w:t>
      </w:r>
    </w:p>
    <w:p>
      <w:pPr>
        <w:pStyle w:val="ListBullet"/>
      </w:pPr>
      <w:r>
        <w:t>位置：招标文件 第二章1.1.1、第五章附件3、第五章一、承包范围</w:t>
      </w:r>
    </w:p>
    <w:p>
      <w:pPr>
        <w:pStyle w:val="ListBullet"/>
      </w:pPr>
      <w:r>
        <w:rPr>
          <w:b/>
        </w:rPr>
        <w:t>整改建议：</w:t>
      </w:r>
      <w:r>
        <w:t>建议补充《中国某能源集团有限公司招标采购实施办法》的文号/版本；《选煤厂安全规程》应标注标准编号（如AQ 1010-2005）；《某集团煤炭洗选安全质量标准化标准及考核评级细则》应标注发布年份；修正合同编号格式，确保引用出处完整、规范。</w:t>
      </w:r>
    </w:p>
    <w:p/>
    <w:p>
      <w:r>
        <w:rPr>
          <w:b/>
        </w:rPr>
        <w:t xml:space="preserve">5. </w:t>
      </w:r>
      <w:r>
        <w:rPr>
          <w:sz w:val="22"/>
        </w:rPr>
        <w:t xml:space="preserve">⚠ 存疑 </w:t>
      </w:r>
      <w:r>
        <w:rPr>
          <w:b/>
        </w:rPr>
        <w:t>表格完整性与格式规范</w:t>
      </w:r>
      <w:r>
        <w:t>：表格存在表号表名缺失、部分空白单元格及格式不统一问题</w:t>
      </w:r>
    </w:p>
    <w:p>
      <w:pPr>
        <w:pStyle w:val="ListBullet"/>
      </w:pPr>
      <w:r>
        <w:t>判定理由：核查招标文件全部24个表格，发现：1.所有表格均无表号和表名，仅部分有标题（如附件1、附件2）；2.表格1中“润滑系统-主体”和表格2中“钢结构装车站及围护”等行的规格型号栏为空白，存在缺项；3.表格20的表头重复出现两行，格式不统一。</w:t>
      </w:r>
    </w:p>
    <w:p>
      <w:pPr>
        <w:pStyle w:val="ListBullet"/>
      </w:pPr>
      <w:r>
        <w:rPr>
          <w:b/>
        </w:rPr>
        <w:t>文档证据：</w:t>
      </w:r>
      <w:r>
        <w:t>表格1中“5 | 润滑系统 | 主体 |  | 套 | 2”规格型号为空；表格2中“1 | 钢结构装车站及围护 |  | 套 | 1”规格型号为空；表格20第一行和第二行均为“序号 | 项目 | 规格 型号 | 执行 标准 | 计量单位 | 定额/消耗数量 | 单价 (元) | 金额 (元) | 产地或生产企业”。</w:t>
      </w:r>
    </w:p>
    <w:p>
      <w:pPr>
        <w:pStyle w:val="ListBullet"/>
      </w:pPr>
      <w:r>
        <w:t>位置：招标文件 第五章 附件1、附件2及第六章报价表</w:t>
      </w:r>
    </w:p>
    <w:p>
      <w:pPr>
        <w:pStyle w:val="ListBullet"/>
      </w:pPr>
      <w:r>
        <w:rPr>
          <w:b/>
        </w:rPr>
        <w:t>整改建议：</w:t>
      </w:r>
      <w:r>
        <w:t>为所有表格添加表号和表名；补充空白单元格或注明“无”；删除表格20中重复的表头行，统一表格格式。</w:t>
      </w:r>
    </w:p>
    <w:p/>
    <w:p>
      <w:r>
        <w:rPr>
          <w:b/>
        </w:rPr>
        <w:t xml:space="preserve">6. </w:t>
      </w:r>
      <w:r>
        <w:rPr>
          <w:sz w:val="22"/>
        </w:rPr>
        <w:t xml:space="preserve">⚠ 存疑 </w:t>
      </w:r>
      <w:r>
        <w:rPr>
          <w:b/>
        </w:rPr>
        <w:t>文档结构完整性（目录、页码）</w:t>
      </w:r>
      <w:r>
        <w:t>：目录与正文章节基本对应，但存在内部编号重复且无法核查页码</w:t>
      </w:r>
    </w:p>
    <w:p>
      <w:pPr>
        <w:pStyle w:val="ListBullet"/>
      </w:pPr>
      <w:r>
        <w:t>判定理由：目录列出的六章与正文一级章节对应，章节编号一至六连贯；但正文内部存在多处编号重复，如投标人须知3.1.1投标文件组成中多个条目均编号为(9)、(11)，第六章投标文件格式目录中“二、法定代表人身份证明”与“二、授权委托书”重复编号。文本提取未提供页码信息，无法核查页码连续性与目录页码一致性。</w:t>
      </w:r>
    </w:p>
    <w:p>
      <w:pPr>
        <w:pStyle w:val="ListBullet"/>
      </w:pPr>
      <w:r>
        <w:rPr>
          <w:b/>
        </w:rPr>
        <w:t>文档证据：</w:t>
      </w:r>
      <w:r>
        <w:t>目录：第一章 招标公告/投标邀请书；第二章 投标人须知；第三章 评标办法；第四章 合同条款及格式；第五章 服务要求；第六章 投标文件格式。正文：3.1.1 投标文件应包括下列内容：（9）投标设备技术性能指标的详细描述；（9）投标材料质量标准的详细描述；（9）服务方案；（11）技术服务和质保期服务计划；（11）其他相关服务计划。第六章目录：二、法定代表人（单位负责人）身份证明；二、授权委托书。</w:t>
      </w:r>
    </w:p>
    <w:p>
      <w:pPr>
        <w:pStyle w:val="ListBullet"/>
      </w:pPr>
      <w:r>
        <w:t>位置：招标文件-已脱敏1.docx 目录、第二章第3.1.1节、第六章投标文件格式目录</w:t>
      </w:r>
    </w:p>
    <w:p>
      <w:pPr>
        <w:pStyle w:val="ListBullet"/>
      </w:pPr>
      <w:r>
        <w:rPr>
          <w:b/>
        </w:rPr>
        <w:t>整改建议：</w:t>
      </w:r>
      <w:r>
        <w:t>建议统一内部条目编号，避免重复；补充页码并确保目录页码与正文一致。</w:t>
      </w:r>
    </w:p>
    <w:p/>
    <w:p>
      <w:r>
        <w:rPr>
          <w:b/>
        </w:rPr>
        <w:t xml:space="preserve">7. </w:t>
      </w:r>
      <w:r>
        <w:rPr>
          <w:sz w:val="22"/>
        </w:rPr>
        <w:t xml:space="preserve">✗ 不合规 </w:t>
      </w:r>
      <w:r>
        <w:rPr>
          <w:b/>
        </w:rPr>
        <w:t>语义通顺性与逻辑一致性</w:t>
      </w:r>
      <w:r>
        <w:t>：存在多处前后矛盾信息，如招标编号与项目编号不一致、项目性质表述错误、平台网址及联系电话不一致</w:t>
      </w:r>
    </w:p>
    <w:p>
      <w:pPr>
        <w:pStyle w:val="ListBullet"/>
      </w:pPr>
      <w:r>
        <w:t>判定理由：核查发现：封面招标编号为CCT355426，而第一章项目编号为CCTC31223426，两者不一致；1.1.1节称“现对设备采购进行招标”，但本项目为检修维护服务项目，与招标范围矛盾；4.4/5节平台网址为www.zmzb.com，而9.1/9.5节为www.zb.com；客服电话在4.4为400-003-6677，9.6为400-00-6677，9.应急为400-003-667，三者不一致。这些前后矛盾影响投标人理解，属于逻辑不一致。</w:t>
      </w:r>
    </w:p>
    <w:p>
      <w:pPr>
        <w:pStyle w:val="ListBullet"/>
      </w:pPr>
      <w:r>
        <w:rPr>
          <w:b/>
        </w:rPr>
        <w:t>文档证据：</w:t>
      </w:r>
      <w:r>
        <w:t>（招标编号：CCT355426）...项目编号：CCTC31223426；1.1.1 现对设备采购进行招标；9.1 登录“某电子招投标平台”（http://www.zb.com）；9.6 客服联系电话：400-00-6677</w:t>
      </w:r>
    </w:p>
    <w:p>
      <w:pPr>
        <w:pStyle w:val="ListBullet"/>
      </w:pPr>
      <w:r>
        <w:t>位置：招标文件-已脱敏1.docx 封面/第一章/第二章</w:t>
      </w:r>
    </w:p>
    <w:p>
      <w:pPr>
        <w:pStyle w:val="ListBullet"/>
      </w:pPr>
      <w:r>
        <w:rPr>
          <w:b/>
        </w:rPr>
        <w:t>整改建议：</w:t>
      </w:r>
      <w:r>
        <w:t>统一招标编号与项目编号；修正1.1.1为“现对检修维护服务进行招标”；统一平台网址为www.zmzb.com；核对并统一客服联系电话。</w:t>
      </w:r>
    </w:p>
    <w:p/>
    <w:p>
      <w:r>
        <w:rPr>
          <w:b/>
        </w:rPr>
        <w:t xml:space="preserve">8. </w:t>
      </w:r>
      <w:r>
        <w:rPr>
          <w:sz w:val="22"/>
        </w:rPr>
        <w:t xml:space="preserve">✗ 不合规 </w:t>
      </w:r>
      <w:r>
        <w:rPr>
          <w:b/>
        </w:rPr>
        <w:t>专业术语与表述规范</w:t>
      </w:r>
      <w:r>
        <w:t>：专业术语及表述不统一，如“配电系统”与“供配电系统”混用、平台网址不一致、发票名称混用</w:t>
      </w:r>
    </w:p>
    <w:p>
      <w:pPr>
        <w:pStyle w:val="ListBullet"/>
      </w:pPr>
      <w:r>
        <w:t>判定理由：核查发现：2.项目概况中汽车定量装车站使用“配电系统”，铁路快速装车站使用“供配电系统”，同一概念表述不一致；4.4称“标书费发票”，9.3称“增值税电子普通发票”，前后名称不统一；平台网址在4.4/5为www.zmzb.com，在9.1/9.5为www.zb.com，属于同一平台网址表述不一致。这些不符合术语规范统一要求。</w:t>
      </w:r>
    </w:p>
    <w:p>
      <w:pPr>
        <w:pStyle w:val="ListBullet"/>
      </w:pPr>
      <w:r>
        <w:rPr>
          <w:b/>
        </w:rPr>
        <w:t>文档证据：</w:t>
      </w:r>
      <w:r>
        <w:t>（1）某选煤厂汽车定量装车站的生产系统、配电系统...（2）某选煤厂铁路快速装车站的生产系统、供配电系统...；标书费发票仅提供电子普通发票；支付完毕后可在线自行开具增值税电子普通发票；http://www.zmzb.com 与 http://www.zb.com</w:t>
      </w:r>
    </w:p>
    <w:p>
      <w:pPr>
        <w:pStyle w:val="ListBullet"/>
      </w:pPr>
      <w:r>
        <w:t>位置：招标文件-已脱敏1.docx 第一章/第二章</w:t>
      </w:r>
    </w:p>
    <w:p>
      <w:pPr>
        <w:pStyle w:val="ListBullet"/>
      </w:pPr>
      <w:r>
        <w:rPr>
          <w:b/>
        </w:rPr>
        <w:t>整改建议：</w:t>
      </w:r>
      <w:r>
        <w:t>统一使用“供配电系统”或“配电系统”；统一发票名称；核对并统一平台网址。</w:t>
      </w:r>
    </w:p>
    <w:p/>
    <w:p>
      <w:r>
        <w:rPr>
          <w:b/>
        </w:rPr>
        <w:t xml:space="preserve">9. </w:t>
      </w:r>
      <w:r>
        <w:rPr>
          <w:sz w:val="22"/>
        </w:rPr>
        <w:t xml:space="preserve">✗ 不合规 </w:t>
      </w:r>
      <w:r>
        <w:rPr>
          <w:b/>
        </w:rPr>
        <w:t>错别字与标点符号规范</w:t>
      </w:r>
      <w:r>
        <w:t>：错别字/错用词：『登陆』应改为『登录』</w:t>
      </w:r>
    </w:p>
    <w:p>
      <w:pPr>
        <w:pStyle w:val="ListBullet"/>
      </w:pPr>
      <w:r>
        <w:t>判定理由：逐句扫描发现：多处“登陆”应为“登录”（9.2、流程1、4、5等）；邮编“1000”应为“100000”（漏字）；客服电话“400-00-6677”应为“400-003-6677”（漏字/错字），“400-003-667”应为“400-003-6677”（漏字）；时间格式全角冒号与半角冒号混用（如“9：00”与“10:00”）；“资格要求 3”中多余空格；联系人电话前多余空格；引号使用不规范（如“某电子招投标平台的网上开标大厅”引号位置不当）。其中“登陆”、邮编、电话属于字词/数字错误，标点及空格属于格式问题。</w:t>
        <w:br/>
        <w:br/>
        <w:t>【错别字 1/4】『登陆』应改为『登录』：登陆后在项目下递交投标意向资料。</w:t>
      </w:r>
    </w:p>
    <w:p>
      <w:pPr>
        <w:pStyle w:val="ListBullet"/>
      </w:pPr>
      <w:r>
        <w:rPr>
          <w:b/>
        </w:rPr>
        <w:t>文档证据：</w:t>
      </w:r>
      <w:r>
        <w:t>登陆后在项目下递交投标意向资料。</w:t>
      </w:r>
    </w:p>
    <w:p>
      <w:pPr>
        <w:pStyle w:val="ListBullet"/>
      </w:pPr>
      <w:r>
        <w:t>位置：招标文件-已脱敏1.docx 第一章/第二章</w:t>
      </w:r>
    </w:p>
    <w:p>
      <w:pPr>
        <w:pStyle w:val="ListBullet"/>
      </w:pPr>
      <w:r>
        <w:rPr>
          <w:b/>
        </w:rPr>
        <w:t>整改建议：</w:t>
      </w:r>
      <w:r>
        <w:t>将『登陆』修正为『登录』</w:t>
      </w:r>
    </w:p>
    <w:p/>
    <w:p>
      <w:r>
        <w:rPr>
          <w:b/>
        </w:rPr>
        <w:t xml:space="preserve">10. </w:t>
      </w:r>
      <w:r>
        <w:rPr>
          <w:sz w:val="22"/>
        </w:rPr>
        <w:t xml:space="preserve">✗ 不合规 </w:t>
      </w:r>
      <w:r>
        <w:rPr>
          <w:b/>
        </w:rPr>
        <w:t>错别字与标点符号规范</w:t>
      </w:r>
      <w:r>
        <w:t>：错别字/错用词：『1000』应改为『100000』</w:t>
      </w:r>
    </w:p>
    <w:p>
      <w:pPr>
        <w:pStyle w:val="ListBullet"/>
      </w:pPr>
      <w:r>
        <w:t>判定理由：逐句扫描发现：多处“登陆”应为“登录”（9.2、流程1、4、5等）；邮编“1000”应为“100000”（漏字）；客服电话“400-00-6677”应为“400-003-6677”（漏字/错字），“400-003-667”应为“400-003-6677”（漏字）；时间格式全角冒号与半角冒号混用（如“9：00”与“10:00”）；“资格要求 3”中多余空格；联系人电话前多余空格；引号使用不规范（如“某电子招投标平台的网上开标大厅”引号位置不当）。其中“登陆”、邮编、电话属于字词/数字错误，标点及空格属于格式问题。</w:t>
        <w:br/>
        <w:br/>
        <w:t>【错别字 2/4】『1000』应改为『100000』：邮编：1000</w:t>
      </w:r>
    </w:p>
    <w:p>
      <w:pPr>
        <w:pStyle w:val="ListBullet"/>
      </w:pPr>
      <w:r>
        <w:rPr>
          <w:b/>
        </w:rPr>
        <w:t>文档证据：</w:t>
      </w:r>
      <w:r>
        <w:t>邮编：1000</w:t>
      </w:r>
    </w:p>
    <w:p>
      <w:pPr>
        <w:pStyle w:val="ListBullet"/>
      </w:pPr>
      <w:r>
        <w:t>位置：招标文件-已脱敏1.docx 第一章/第二章</w:t>
      </w:r>
    </w:p>
    <w:p>
      <w:pPr>
        <w:pStyle w:val="ListBullet"/>
      </w:pPr>
      <w:r>
        <w:rPr>
          <w:b/>
        </w:rPr>
        <w:t>整改建议：</w:t>
      </w:r>
      <w:r>
        <w:t>将『1000』修正为『100000』</w:t>
      </w:r>
    </w:p>
    <w:p/>
    <w:p>
      <w:r>
        <w:rPr>
          <w:b/>
        </w:rPr>
        <w:t xml:space="preserve">11. </w:t>
      </w:r>
      <w:r>
        <w:rPr>
          <w:sz w:val="22"/>
        </w:rPr>
        <w:t xml:space="preserve">✗ 不合规 </w:t>
      </w:r>
      <w:r>
        <w:rPr>
          <w:b/>
        </w:rPr>
        <w:t>错别字与标点符号规范</w:t>
      </w:r>
      <w:r>
        <w:t>：错别字/错用词：『400-00-6677』应改为『400-003-6677』</w:t>
      </w:r>
    </w:p>
    <w:p>
      <w:pPr>
        <w:pStyle w:val="ListBullet"/>
      </w:pPr>
      <w:r>
        <w:t>判定理由：逐句扫描发现：多处“登陆”应为“登录”（9.2、流程1、4、5等）；邮编“1000”应为“100000”（漏字）；客服电话“400-00-6677”应为“400-003-6677”（漏字/错字），“400-003-667”应为“400-003-6677”（漏字）；时间格式全角冒号与半角冒号混用（如“9：00”与“10:00”）；“资格要求 3”中多余空格；联系人电话前多余空格；引号使用不规范（如“某电子招投标平台的网上开标大厅”引号位置不当）。其中“登陆”、邮编、电话属于字词/数字错误，标点及空格属于格式问题。</w:t>
        <w:br/>
        <w:br/>
        <w:t>【错别字 3/4】『400-00-6677』应改为『400-003-6677』：客服联系电话：400-00-6677</w:t>
      </w:r>
    </w:p>
    <w:p>
      <w:pPr>
        <w:pStyle w:val="ListBullet"/>
      </w:pPr>
      <w:r>
        <w:rPr>
          <w:b/>
        </w:rPr>
        <w:t>文档证据：</w:t>
      </w:r>
      <w:r>
        <w:t>客服联系电话：400-00-6677</w:t>
      </w:r>
    </w:p>
    <w:p>
      <w:pPr>
        <w:pStyle w:val="ListBullet"/>
      </w:pPr>
      <w:r>
        <w:t>位置：招标文件-已脱敏1.docx 第一章/第二章</w:t>
      </w:r>
    </w:p>
    <w:p>
      <w:pPr>
        <w:pStyle w:val="ListBullet"/>
      </w:pPr>
      <w:r>
        <w:rPr>
          <w:b/>
        </w:rPr>
        <w:t>整改建议：</w:t>
      </w:r>
      <w:r>
        <w:t>将『400-00-6677』修正为『400-003-6677』</w:t>
      </w:r>
    </w:p>
    <w:p/>
    <w:p>
      <w:r>
        <w:rPr>
          <w:b/>
        </w:rPr>
        <w:t xml:space="preserve">12. </w:t>
      </w:r>
      <w:r>
        <w:rPr>
          <w:sz w:val="22"/>
        </w:rPr>
        <w:t xml:space="preserve">✗ 不合规 </w:t>
      </w:r>
      <w:r>
        <w:rPr>
          <w:b/>
        </w:rPr>
        <w:t>错别字与标点符号规范</w:t>
      </w:r>
      <w:r>
        <w:t>：错别字/错用词：『400-003-667』应改为『400-003-6677』</w:t>
      </w:r>
    </w:p>
    <w:p>
      <w:pPr>
        <w:pStyle w:val="ListBullet"/>
      </w:pPr>
      <w:r>
        <w:t>判定理由：逐句扫描发现：多处“登陆”应为“登录”（9.2、流程1、4、5等）；邮编“1000”应为“100000”（漏字）；客服电话“400-00-6677”应为“400-003-6677”（漏字/错字），“400-003-667”应为“400-003-6677”（漏字）；时间格式全角冒号与半角冒号混用（如“9：00”与“10:00”）；“资格要求 3”中多余空格；联系人电话前多余空格；引号使用不规范（如“某电子招投标平台的网上开标大厅”引号位置不当）。其中“登陆”、邮编、电话属于字词/数字错误，标点及空格属于格式问题。</w:t>
        <w:br/>
        <w:br/>
        <w:t>【错别字 4/4】『400-003-667』应改为『400-003-6677』：如有问题请及时拨打电话400-003-667寻求支持</w:t>
      </w:r>
    </w:p>
    <w:p>
      <w:pPr>
        <w:pStyle w:val="ListBullet"/>
      </w:pPr>
      <w:r>
        <w:rPr>
          <w:b/>
        </w:rPr>
        <w:t>文档证据：</w:t>
      </w:r>
      <w:r>
        <w:t>如有问题请及时拨打电话400-003-667寻求支持</w:t>
      </w:r>
    </w:p>
    <w:p>
      <w:pPr>
        <w:pStyle w:val="ListBullet"/>
      </w:pPr>
      <w:r>
        <w:t>位置：招标文件-已脱敏1.docx 第一章/第二章</w:t>
      </w:r>
    </w:p>
    <w:p>
      <w:pPr>
        <w:pStyle w:val="ListBullet"/>
      </w:pPr>
      <w:r>
        <w:rPr>
          <w:b/>
        </w:rPr>
        <w:t>整改建议：</w:t>
      </w:r>
      <w:r>
        <w:t>将『400-003-667』修正为『400-003-6677』</w:t>
      </w:r>
    </w:p>
    <w:p/>
    <w:p>
      <w:r>
        <w:rPr>
          <w:b/>
        </w:rPr>
        <w:t xml:space="preserve">13. </w:t>
      </w:r>
      <w:r>
        <w:rPr>
          <w:sz w:val="22"/>
        </w:rPr>
        <w:t xml:space="preserve">⚠ 存疑 </w:t>
      </w:r>
      <w:r>
        <w:rPr>
          <w:b/>
        </w:rPr>
        <w:t>语义通顺性与逻辑一致性</w:t>
      </w:r>
      <w:r>
        <w:t>：编号重复导致逻辑不一致</w:t>
      </w:r>
    </w:p>
    <w:p>
      <w:pPr>
        <w:pStyle w:val="ListBullet"/>
      </w:pPr>
      <w:r>
        <w:t>判定理由：在3.1.1投标文件组成中，编号（9）出现三次，分别对应设备采购、材料采购和服务方案；编号（11）出现两次。此外，3.5节出现两个相同编号，分别适用于已进行资格预审和未进行资格预审的情形。编号重复造成条目指代混乱，影响文件清晰度和逻辑一致性。</w:t>
      </w:r>
    </w:p>
    <w:p>
      <w:pPr>
        <w:pStyle w:val="ListBullet"/>
      </w:pPr>
      <w:r>
        <w:rPr>
          <w:b/>
        </w:rPr>
        <w:t>文档证据：</w:t>
      </w:r>
      <w:r>
        <w:t>（9）投标设备技术性能指标的详细描述（适用于设备采购项目）；（9）投标材料质量标准的详细描述（适用于材料采购项目）；（9）服务方案（适用于材料采购项目）（10）技术支持资料；（11）技术服务和质保期服务计划（适用于设备采购项目）；（11）其他相关服务计划（适用于材料采购或服务项目）；……3.5 资格审查资料（适用于已进行资格预审的）……3.5 资格审查资料（适用于未进行资格预审的）</w:t>
      </w:r>
    </w:p>
    <w:p>
      <w:pPr>
        <w:pStyle w:val="ListBullet"/>
      </w:pPr>
      <w:r>
        <w:t>位置：招标文件 第3章 投标文件 3.1.1、3.5</w:t>
      </w:r>
    </w:p>
    <w:p>
      <w:pPr>
        <w:pStyle w:val="ListBullet"/>
      </w:pPr>
      <w:r>
        <w:rPr>
          <w:b/>
        </w:rPr>
        <w:t>整改建议：</w:t>
      </w:r>
      <w:r>
        <w:t>重新编排条目编号，确保每个编号唯一，例如将三个（9）分别改为（9）、（10）、（11），后续编号依次顺延；将两个3.5分别编号为3.5和3.6或采用3.5A/3.5B区分。</w:t>
      </w:r>
    </w:p>
    <w:p/>
    <w:p>
      <w:r>
        <w:rPr>
          <w:b/>
        </w:rPr>
        <w:t xml:space="preserve">14. </w:t>
      </w:r>
      <w:r>
        <w:rPr>
          <w:sz w:val="22"/>
        </w:rPr>
        <w:t xml:space="preserve">⚠ 存疑 </w:t>
      </w:r>
      <w:r>
        <w:rPr>
          <w:b/>
        </w:rPr>
        <w:t>专业术语与表述规范</w:t>
      </w:r>
      <w:r>
        <w:t>：电子交易平台表述不统一</w:t>
      </w:r>
    </w:p>
    <w:p>
      <w:pPr>
        <w:pStyle w:val="ListBullet"/>
      </w:pPr>
      <w:r>
        <w:t>判定理由：同一概念在文中出现两种表述：4.1和4.3.2使用“电子招标投标交易平台”，4.2.2、4.2.4、4.2.5使用“某招投标电子平台”，且“某”为占位符，未明确具体平台名称。术语不统一且存在占位符，不符合规范表述要求。</w:t>
      </w:r>
    </w:p>
    <w:p>
      <w:pPr>
        <w:pStyle w:val="ListBullet"/>
      </w:pPr>
      <w:r>
        <w:rPr>
          <w:b/>
        </w:rPr>
        <w:t>文档证据：</w:t>
      </w:r>
      <w:r>
        <w:t>4.1 投标人应当按照招标文件和电子招标投标交易平台的要求加密投标文件……4.2.2（B）投标人通过下载招标文件的某招投标电子平台递交电子投标文件。</w:t>
      </w:r>
    </w:p>
    <w:p>
      <w:pPr>
        <w:pStyle w:val="ListBullet"/>
      </w:pPr>
      <w:r>
        <w:t>位置：招标文件 第4章 投标 4.1、4.2.2</w:t>
      </w:r>
    </w:p>
    <w:p>
      <w:pPr>
        <w:pStyle w:val="ListBullet"/>
      </w:pPr>
      <w:r>
        <w:rPr>
          <w:b/>
        </w:rPr>
        <w:t>整改建议：</w:t>
      </w:r>
      <w:r>
        <w:t>统一使用“电子招标投标交易平台”或填写具体平台名称，并全文保持一致；删除“某”等占位符。</w:t>
      </w:r>
    </w:p>
    <w:p/>
    <w:p>
      <w:r>
        <w:rPr>
          <w:b/>
        </w:rPr>
        <w:t xml:space="preserve">15. </w:t>
      </w:r>
      <w:r>
        <w:rPr>
          <w:sz w:val="22"/>
        </w:rPr>
        <w:t xml:space="preserve">⚠ 存疑 </w:t>
      </w:r>
      <w:r>
        <w:rPr>
          <w:b/>
        </w:rPr>
        <w:t>错别字与标点符号规范</w:t>
      </w:r>
      <w:r>
        <w:t>：标点缺失：服务方案条目后缺少分号</w:t>
      </w:r>
    </w:p>
    <w:p>
      <w:pPr>
        <w:pStyle w:val="ListBullet"/>
      </w:pPr>
      <w:r>
        <w:t>判定理由：在3.1.1投标文件组成列表中，多数条目以分号结尾，但“（9）服务方案（适用于材料采购项目）”后未加分号，直接换行至下一项，标点使用不一致。未发现错别字。</w:t>
      </w:r>
    </w:p>
    <w:p>
      <w:pPr>
        <w:pStyle w:val="ListBullet"/>
      </w:pPr>
      <w:r>
        <w:rPr>
          <w:b/>
        </w:rPr>
        <w:t>文档证据：</w:t>
      </w:r>
      <w:r>
        <w:t>（9）服务方案（适用于材料采购项目）</w:t>
        <w:br/>
        <w:t>（10）技术支持资料；</w:t>
      </w:r>
    </w:p>
    <w:p>
      <w:pPr>
        <w:pStyle w:val="ListBullet"/>
      </w:pPr>
      <w:r>
        <w:t>位置：招标文件 第3章 投标文件 3.1.1</w:t>
      </w:r>
    </w:p>
    <w:p>
      <w:pPr>
        <w:pStyle w:val="ListBullet"/>
      </w:pPr>
      <w:r>
        <w:rPr>
          <w:b/>
        </w:rPr>
        <w:t>整改建议：</w:t>
      </w:r>
      <w:r>
        <w:t>在“（9）服务方案（适用于材料采购项目）”后补充分号，与其他条目保持一致。</w:t>
      </w:r>
    </w:p>
    <w:p/>
    <w:p>
      <w:r>
        <w:rPr>
          <w:b/>
        </w:rPr>
        <w:t xml:space="preserve">16. </w:t>
      </w:r>
      <w:r>
        <w:rPr>
          <w:sz w:val="22"/>
        </w:rPr>
        <w:t xml:space="preserve">✓ 通过 </w:t>
      </w:r>
      <w:r>
        <w:rPr>
          <w:b/>
        </w:rPr>
        <w:t>语义通顺性与逻辑一致性</w:t>
      </w:r>
      <w:r>
        <w:t>：语义通顺，逻辑自洽</w:t>
      </w:r>
    </w:p>
    <w:p>
      <w:pPr>
        <w:pStyle w:val="ListBullet"/>
      </w:pPr>
      <w:r>
        <w:t>判定理由：逐句核查未发现语句不通、表意不明或逻辑矛盾；5.2.3中'少于三家'与'有效投标人不足三家'并列可理解为分别指递交数量和有效数量，不构成冲突。</w:t>
      </w:r>
    </w:p>
    <w:p>
      <w:pPr>
        <w:pStyle w:val="ListBullet"/>
      </w:pPr>
      <w:r>
        <w:rPr>
          <w:b/>
        </w:rPr>
        <w:t>文档证据：</w:t>
      </w:r>
      <w:r>
        <w:t>5.2.3 重新招标后，投标截止时间前成功递交投标文件的投标人不少于三家，开标继续；投标截止时间前成功递交投标文件的投标人少于三家或有效投标人不足三家，可以转为谈判方式采购或重新招标。</w:t>
      </w:r>
    </w:p>
    <w:p>
      <w:pPr>
        <w:pStyle w:val="ListBullet"/>
      </w:pPr>
      <w:r>
        <w:t>位置：待审文档 第3段/第5.2.3节</w:t>
      </w:r>
    </w:p>
    <w:p/>
    <w:p>
      <w:r>
        <w:rPr>
          <w:b/>
        </w:rPr>
        <w:t xml:space="preserve">17. </w:t>
      </w:r>
      <w:r>
        <w:rPr>
          <w:sz w:val="22"/>
        </w:rPr>
        <w:t xml:space="preserve">⚠ 存疑 </w:t>
      </w:r>
      <w:r>
        <w:rPr>
          <w:b/>
        </w:rPr>
        <w:t>专业术语与表述规范</w:t>
      </w:r>
      <w:r>
        <w:t>：术语表述存在不统一</w:t>
      </w:r>
    </w:p>
    <w:p>
      <w:pPr>
        <w:pStyle w:val="ListBullet"/>
      </w:pPr>
      <w:r>
        <w:t>判定理由：同一电子平台在文中分别表述为'某招投标电子平台'（开头）和'某电子招投标平台'（5.2.1等），名称不统一；谈判程序中'形式性评审、资格性评审'与后文'形式评审'表述不一致；异议函内容第（6）项使用'质疑'而全文统一使用'异议'，术语混用。</w:t>
      </w:r>
    </w:p>
    <w:p>
      <w:pPr>
        <w:pStyle w:val="ListBullet"/>
      </w:pPr>
      <w:r>
        <w:rPr>
          <w:b/>
        </w:rPr>
        <w:t>文档证据：</w:t>
      </w:r>
      <w:r>
        <w:t>通过某招投标电子平台公开开标；投标人请于投标截止时间前登陆某电子招投标平台；（形式性评审、资格性评审和响应性评审）；（6）提出质疑的日期</w:t>
      </w:r>
    </w:p>
    <w:p>
      <w:pPr>
        <w:pStyle w:val="ListBullet"/>
      </w:pPr>
      <w:r>
        <w:t>位置：待审文档 第3段/第5.2.1节、第5.2.3节、第8.5.2节</w:t>
      </w:r>
    </w:p>
    <w:p>
      <w:pPr>
        <w:pStyle w:val="ListBullet"/>
      </w:pPr>
      <w:r>
        <w:rPr>
          <w:b/>
        </w:rPr>
        <w:t>整改建议：</w:t>
      </w:r>
      <w:r>
        <w:t>统一平台名称和评审术语；将'质疑'改为'异议'以保持全文一致。</w:t>
      </w:r>
    </w:p>
    <w:p/>
    <w:p>
      <w:r>
        <w:rPr>
          <w:b/>
        </w:rPr>
        <w:t xml:space="preserve">18. </w:t>
      </w:r>
      <w:r>
        <w:rPr>
          <w:sz w:val="22"/>
        </w:rPr>
        <w:t xml:space="preserve">✗ 不合规 </w:t>
      </w:r>
      <w:r>
        <w:rPr>
          <w:b/>
        </w:rPr>
        <w:t>错别字与标点符号规范</w:t>
      </w:r>
      <w:r>
        <w:t>：错别字/错用词：『登陆』应改为『登录』</w:t>
      </w:r>
    </w:p>
    <w:p>
      <w:pPr>
        <w:pStyle w:val="ListBullet"/>
      </w:pPr>
      <w:r>
        <w:t>判定理由：逐字扫描发现2处字词替换错误：'登陆'应为'登录'（音近字替换），'权力'应为'权利'（音近字替换）；另有多处标点/格式问题：英文引号混用、8.5.4'投诉时,'使用英文逗号、10.2末尾重复句号'。。'、多处编号后缺少空格（如5.2.1、8.5.2、8.5.3、8.5.4、8.6、10.1.1、10.1.2、10.2）。</w:t>
        <w:br/>
        <w:br/>
        <w:t>【错别字 1/2】『登陆』应改为『登录』：投标人请于投标截止时间前登陆某电子招投标平台进入开标大厅参加开标。</w:t>
      </w:r>
    </w:p>
    <w:p>
      <w:pPr>
        <w:pStyle w:val="ListBullet"/>
      </w:pPr>
      <w:r>
        <w:rPr>
          <w:b/>
        </w:rPr>
        <w:t>文档证据：</w:t>
      </w:r>
      <w:r>
        <w:t>投标人请于投标截止时间前登陆某电子招投标平台进入开标大厅参加开标。</w:t>
      </w:r>
    </w:p>
    <w:p>
      <w:pPr>
        <w:pStyle w:val="ListBullet"/>
      </w:pPr>
      <w:r>
        <w:t>位置：待审文档 第3段/第5.2.1节、第10.2节</w:t>
      </w:r>
    </w:p>
    <w:p>
      <w:pPr>
        <w:pStyle w:val="ListBullet"/>
      </w:pPr>
      <w:r>
        <w:rPr>
          <w:b/>
        </w:rPr>
        <w:t>整改建议：</w:t>
      </w:r>
      <w:r>
        <w:t>将『登陆』修正为『登录』</w:t>
      </w:r>
    </w:p>
    <w:p/>
    <w:p>
      <w:r>
        <w:rPr>
          <w:b/>
        </w:rPr>
        <w:t xml:space="preserve">19. </w:t>
      </w:r>
      <w:r>
        <w:rPr>
          <w:sz w:val="22"/>
        </w:rPr>
        <w:t xml:space="preserve">✗ 不合规 </w:t>
      </w:r>
      <w:r>
        <w:rPr>
          <w:b/>
        </w:rPr>
        <w:t>错别字与标点符号规范</w:t>
      </w:r>
      <w:r>
        <w:t>：错别字/错用词：『权力』应改为『权利』</w:t>
      </w:r>
    </w:p>
    <w:p>
      <w:pPr>
        <w:pStyle w:val="ListBullet"/>
      </w:pPr>
      <w:r>
        <w:t>判定理由：逐字扫描发现2处字词替换错误：'登陆'应为'登录'（音近字替换），'权力'应为'权利'（音近字替换）；另有多处标点/格式问题：英文引号混用、8.5.4'投诉时,'使用英文逗号、10.2末尾重复句号'。。'、多处编号后缺少空格（如5.2.1、8.5.2、8.5.3、8.5.4、8.6、10.1.1、10.1.2、10.2）。</w:t>
        <w:br/>
        <w:br/>
        <w:t>【错别字 2/2】『权力』应改为『权利』：招标机构保留扣除投标保证金的权力。</w:t>
      </w:r>
    </w:p>
    <w:p>
      <w:pPr>
        <w:pStyle w:val="ListBullet"/>
      </w:pPr>
      <w:r>
        <w:rPr>
          <w:b/>
        </w:rPr>
        <w:t>文档证据：</w:t>
      </w:r>
      <w:r>
        <w:t>招标机构保留扣除投标保证金的权力。</w:t>
      </w:r>
    </w:p>
    <w:p>
      <w:pPr>
        <w:pStyle w:val="ListBullet"/>
      </w:pPr>
      <w:r>
        <w:t>位置：待审文档 第3段/第5.2.1节、第10.2节</w:t>
      </w:r>
    </w:p>
    <w:p>
      <w:pPr>
        <w:pStyle w:val="ListBullet"/>
      </w:pPr>
      <w:r>
        <w:rPr>
          <w:b/>
        </w:rPr>
        <w:t>整改建议：</w:t>
      </w:r>
      <w:r>
        <w:t>将『权力』修正为『权利』</w:t>
      </w:r>
    </w:p>
    <w:p/>
    <w:p>
      <w:r>
        <w:rPr>
          <w:b/>
        </w:rPr>
        <w:t xml:space="preserve">20. </w:t>
      </w:r>
      <w:r>
        <w:rPr>
          <w:sz w:val="22"/>
        </w:rPr>
        <w:t xml:space="preserve">✗ 不合规 </w:t>
      </w:r>
      <w:r>
        <w:rPr>
          <w:b/>
        </w:rPr>
        <w:t>语义通顺性与逻辑一致性</w:t>
      </w:r>
      <w:r>
        <w:t>：存在语句不通顺问题</w:t>
      </w:r>
    </w:p>
    <w:p>
      <w:pPr>
        <w:pStyle w:val="ListBullet"/>
      </w:pPr>
      <w:r>
        <w:t>判定理由：核查发现“如一个运营年度内不及到或超出500万吨产品发运量时”中“不及到”表述不通顺，应为“达不到”或“不足”，导致语义含混。其余语句整体通顺，逻辑基本自洽。</w:t>
      </w:r>
    </w:p>
    <w:p>
      <w:pPr>
        <w:pStyle w:val="ListBullet"/>
      </w:pPr>
      <w:r>
        <w:rPr>
          <w:b/>
        </w:rPr>
        <w:t>文档证据：</w:t>
      </w:r>
      <w:r>
        <w:t>如一个运营年度内不及到或超出500万吨产品发运量时，上表中的固定项目金额不变，吨煤费用按实际汽车定量装车站+铁路快速装车站合计发运量结算</w:t>
      </w:r>
    </w:p>
    <w:p>
      <w:pPr>
        <w:pStyle w:val="ListBullet"/>
      </w:pPr>
      <w:r>
        <w:t>位置：待审文档第4段 2.1.2</w:t>
      </w:r>
    </w:p>
    <w:p>
      <w:pPr>
        <w:pStyle w:val="ListBullet"/>
      </w:pPr>
      <w:r>
        <w:rPr>
          <w:b/>
        </w:rPr>
        <w:t>整改建议：</w:t>
      </w:r>
      <w:r>
        <w:t>将“不及到”修改为“达不到”或“不足”，例如“如一个运营年度内达不到或超出500万吨产品发运量时”。</w:t>
      </w:r>
    </w:p>
    <w:p/>
    <w:p>
      <w:r>
        <w:rPr>
          <w:b/>
        </w:rPr>
        <w:t xml:space="preserve">21. </w:t>
      </w:r>
      <w:r>
        <w:rPr>
          <w:sz w:val="22"/>
        </w:rPr>
        <w:t xml:space="preserve">✓ 通过 </w:t>
      </w:r>
      <w:r>
        <w:rPr>
          <w:b/>
        </w:rPr>
        <w:t>专业术语与表述规范</w:t>
      </w:r>
      <w:r>
        <w:t>：专业术语使用规范，未发现混用</w:t>
      </w:r>
    </w:p>
    <w:p>
      <w:pPr>
        <w:pStyle w:val="ListBullet"/>
      </w:pPr>
      <w:r>
        <w:t>判定理由：全文核查“投标报价”“固定项目报价”“吨煤费用”“汽车定量装车站”“铁路快速装车站”等术语，表述前后一致，未发现同一概念混用或缩写未注明全称的情况。</w:t>
      </w:r>
    </w:p>
    <w:p>
      <w:pPr>
        <w:pStyle w:val="ListBullet"/>
      </w:pPr>
      <w:r>
        <w:rPr>
          <w:b/>
        </w:rPr>
        <w:t>文档证据：</w:t>
      </w:r>
      <w:r>
        <w:t>本次项目投标报价由两部分组成，即固定项目报价+吨煤费用；按汽车定量装车站与铁路快速装车站发运量单价</w:t>
      </w:r>
    </w:p>
    <w:p>
      <w:pPr>
        <w:pStyle w:val="ListBullet"/>
      </w:pPr>
      <w:r>
        <w:t>位置：待审文档第4段 2.1.1</w:t>
      </w:r>
    </w:p>
    <w:p/>
    <w:p>
      <w:r>
        <w:rPr>
          <w:b/>
        </w:rPr>
        <w:t xml:space="preserve">22. </w:t>
      </w:r>
      <w:r>
        <w:rPr>
          <w:sz w:val="22"/>
        </w:rPr>
        <w:t xml:space="preserve">✗ 不合规 </w:t>
      </w:r>
      <w:r>
        <w:rPr>
          <w:b/>
        </w:rPr>
        <w:t>错别字与标点符号规范</w:t>
      </w:r>
      <w:r>
        <w:t>：错别字/错用词：『不及到』应改为『达不到』</w:t>
      </w:r>
    </w:p>
    <w:p>
      <w:pPr>
        <w:pStyle w:val="ListBullet"/>
      </w:pPr>
      <w:r>
        <w:t>判定理由：逐字扫描发现两处字词错误：①“不及到”应为“达不到”或“不足”；②“范围内内”多字，应为“范围内”。另发现标点/格式问题：1.2.6中“审核工作,”逗号后有多余空格；2.1.1中“固定项目报价     万元/年”及“单价     元/吨”存在多处连续空格。</w:t>
        <w:br/>
        <w:br/>
        <w:t>【错别字 1/2】『不及到』应改为『达不到』：如一个运营年度内不及到或超出500万吨产品发运量时</w:t>
      </w:r>
    </w:p>
    <w:p>
      <w:pPr>
        <w:pStyle w:val="ListBullet"/>
      </w:pPr>
      <w:r>
        <w:rPr>
          <w:b/>
        </w:rPr>
        <w:t>文档证据：</w:t>
      </w:r>
      <w:r>
        <w:t>如一个运营年度内不及到或超出500万吨产品发运量时</w:t>
      </w:r>
    </w:p>
    <w:p>
      <w:pPr>
        <w:pStyle w:val="ListBullet"/>
      </w:pPr>
      <w:r>
        <w:t>位置：待审文档第4段 1.1.2、1.2.6、2.1.1、2.1.2</w:t>
      </w:r>
    </w:p>
    <w:p>
      <w:pPr>
        <w:pStyle w:val="ListBullet"/>
      </w:pPr>
      <w:r>
        <w:rPr>
          <w:b/>
        </w:rPr>
        <w:t>整改建议：</w:t>
      </w:r>
      <w:r>
        <w:t>将『不及到』修正为『达不到』</w:t>
      </w:r>
    </w:p>
    <w:p/>
    <w:p>
      <w:r>
        <w:rPr>
          <w:b/>
        </w:rPr>
        <w:t xml:space="preserve">23. </w:t>
      </w:r>
      <w:r>
        <w:rPr>
          <w:sz w:val="22"/>
        </w:rPr>
        <w:t xml:space="preserve">✗ 不合规 </w:t>
      </w:r>
      <w:r>
        <w:rPr>
          <w:b/>
        </w:rPr>
        <w:t>错别字与标点符号规范</w:t>
      </w:r>
      <w:r>
        <w:t>：错别字/错用词：『范围内内』应改为『范围内』</w:t>
      </w:r>
    </w:p>
    <w:p>
      <w:pPr>
        <w:pStyle w:val="ListBullet"/>
      </w:pPr>
      <w:r>
        <w:t>判定理由：逐字扫描发现两处字词错误：①“不及到”应为“达不到”或“不足”；②“范围内内”多字，应为“范围内”。另发现标点/格式问题：1.2.6中“审核工作,”逗号后有多余空格；2.1.1中“固定项目报价     万元/年”及“单价     元/吨”存在多处连续空格。</w:t>
        <w:br/>
        <w:br/>
        <w:t>【错别字 2/2】『范围内内』应改为『范围内』：以及铁路快速装车站范围内内所有设备、设施等的供配电</w:t>
      </w:r>
    </w:p>
    <w:p>
      <w:pPr>
        <w:pStyle w:val="ListBullet"/>
      </w:pPr>
      <w:r>
        <w:rPr>
          <w:b/>
        </w:rPr>
        <w:t>文档证据：</w:t>
      </w:r>
      <w:r>
        <w:t>以及铁路快速装车站范围内内所有设备、设施等的供配电</w:t>
      </w:r>
    </w:p>
    <w:p>
      <w:pPr>
        <w:pStyle w:val="ListBullet"/>
      </w:pPr>
      <w:r>
        <w:t>位置：待审文档第4段 1.1.2、1.2.6、2.1.1、2.1.2</w:t>
      </w:r>
    </w:p>
    <w:p>
      <w:pPr>
        <w:pStyle w:val="ListBullet"/>
      </w:pPr>
      <w:r>
        <w:rPr>
          <w:b/>
        </w:rPr>
        <w:t>整改建议：</w:t>
      </w:r>
      <w:r>
        <w:t>将『范围内内』修正为『范围内』</w:t>
      </w:r>
    </w:p>
    <w:p/>
    <w:p>
      <w:r>
        <w:rPr>
          <w:b/>
        </w:rPr>
        <w:t xml:space="preserve">24. </w:t>
      </w:r>
      <w:r>
        <w:rPr>
          <w:sz w:val="22"/>
        </w:rPr>
        <w:t xml:space="preserve">✗ 不合规 </w:t>
      </w:r>
      <w:r>
        <w:rPr>
          <w:b/>
        </w:rPr>
        <w:t>语义通顺性与逻辑一致性</w:t>
      </w:r>
      <w:r>
        <w:t>：存在语句不完整和前后不一致问题</w:t>
      </w:r>
    </w:p>
    <w:p>
      <w:pPr>
        <w:pStyle w:val="ListBullet"/>
      </w:pPr>
      <w:r>
        <w:t>判定理由：1. 4.1.13条件句以句号结束，缺少主句，语句不完整；2. 5.4'使甲方或第三方的人员或财产...造成损害的'搭配不当，应为'给...造成损害'；3. 正文引用'附件3：《某选煤厂装车站委托维护修理安全管理协议》'，但附件3实际标题为'安全管理协议书'，前后不一致；4. 5.5写'附件一'，而其他处用'附件1'，编号格式不统一。</w:t>
      </w:r>
    </w:p>
    <w:p>
      <w:pPr>
        <w:pStyle w:val="ListBullet"/>
      </w:pPr>
      <w:r>
        <w:rPr>
          <w:b/>
        </w:rPr>
        <w:t>文档证据：</w:t>
      </w:r>
      <w:r>
        <w:t>如果发生非常紧急情况，甲方管理人员认为将造成人员伤害、设备财产损坏或其它重大损失。甲方管理人员有权发布...；使甲方或第三方的人员或财产...造成损害的；附件3：《某选煤厂装车站委托维护修理安全管理协议》vs附件3：安全管理协议书；见附件一</w:t>
      </w:r>
    </w:p>
    <w:p>
      <w:pPr>
        <w:pStyle w:val="ListBullet"/>
      </w:pPr>
      <w:r>
        <w:t>位置：待审文档第5段 4.1.13/5.4/5.5/附件3</w:t>
      </w:r>
    </w:p>
    <w:p>
      <w:pPr>
        <w:pStyle w:val="ListBullet"/>
      </w:pPr>
      <w:r>
        <w:rPr>
          <w:b/>
        </w:rPr>
        <w:t>整改建议：</w:t>
      </w:r>
      <w:r>
        <w:t>将4.1.13句号改为逗号；调整5.4搭配为'给...造成损害'；统一附件3标题；统一附件编号格式。</w:t>
      </w:r>
    </w:p>
    <w:p/>
    <w:p>
      <w:r>
        <w:rPr>
          <w:b/>
        </w:rPr>
        <w:t xml:space="preserve">25. </w:t>
      </w:r>
      <w:r>
        <w:rPr>
          <w:sz w:val="22"/>
        </w:rPr>
        <w:t xml:space="preserve">✗ 不合规 </w:t>
      </w:r>
      <w:r>
        <w:rPr>
          <w:b/>
        </w:rPr>
        <w:t>专业术语与表述规范</w:t>
      </w:r>
      <w:r>
        <w:t>：存在专业术语错误和表述不规范</w:t>
      </w:r>
    </w:p>
    <w:p>
      <w:pPr>
        <w:pStyle w:val="ListBullet"/>
      </w:pPr>
      <w:r>
        <w:t>判定理由：1. 4.2.19'特种工作业证'应为'特种作业操作证'，术语错误；2. 4.2.13'试用工作'应为'试运转'，与4.2.7'试运转'不统一；3. 5.1'己方'表述不规范，建议用'乙方'或'本方'；4. 正文用'甲方/乙方'，附件3用'委托方/承包方'，术语体系不统一；5. 4.2.17'台帐'与附件3'台账'写法不统一，标准写法为'台账'。</w:t>
      </w:r>
    </w:p>
    <w:p>
      <w:pPr>
        <w:pStyle w:val="ListBullet"/>
      </w:pPr>
      <w:r>
        <w:rPr>
          <w:b/>
        </w:rPr>
        <w:t>文档证据：</w:t>
      </w:r>
      <w:r>
        <w:t>特种作业人员必须取得国家相关部门颁发的特种工作业证方可上岗；参与各设备的运行调试，试用工作；对己方员工的安全负责；负责建立健全各种台帐</w:t>
      </w:r>
    </w:p>
    <w:p>
      <w:pPr>
        <w:pStyle w:val="ListBullet"/>
      </w:pPr>
      <w:r>
        <w:t>位置：待审文档第5段 4.2.13/4.2.17/4.2.19/5.1/附件3</w:t>
      </w:r>
    </w:p>
    <w:p>
      <w:pPr>
        <w:pStyle w:val="ListBullet"/>
      </w:pPr>
      <w:r>
        <w:rPr>
          <w:b/>
        </w:rPr>
        <w:t>整改建议：</w:t>
      </w:r>
      <w:r>
        <w:t>将'特种工作业证'改为'特种作业操作证'；将'试用工作'改为'试运转工作'；将'己方'改为'乙方'或'本方'；统一合同主体称谓；统一'台账'写法。</w:t>
      </w:r>
    </w:p>
    <w:p/>
    <w:p>
      <w:r>
        <w:rPr>
          <w:b/>
        </w:rPr>
        <w:t xml:space="preserve">26. </w:t>
      </w:r>
      <w:r>
        <w:rPr>
          <w:sz w:val="22"/>
        </w:rPr>
        <w:t xml:space="preserve">✗ 不合规 </w:t>
      </w:r>
      <w:r>
        <w:rPr>
          <w:b/>
        </w:rPr>
        <w:t>错别字与标点符号规范</w:t>
      </w:r>
      <w:r>
        <w:t>：错别字/错用词：『特种工作业证』应改为『特种作业操作证』</w:t>
      </w:r>
    </w:p>
    <w:p>
      <w:pPr>
        <w:pStyle w:val="ListBullet"/>
      </w:pPr>
      <w:r>
        <w:t>判定理由：错别字：1. 4.2.19'特种工作业证'多字'工'，应为'特种作业操作证'；2. 4.2.13'试用'应为'试运转'，音近字替换兼漏字；3. 4.2.17'台帐'应为'台账'。标点问题：4.1.13句号误用；4.1.12顿号误用；2.2.1用'+'连接并列项；'2022 年'间多余空格；4.2.11括号内逗号误用；4.2.13'运行调试，试用工作'并列成分逗号误用；附件3第十六条'仪器、仪表和设备、容器'顿号与'和'混用。</w:t>
        <w:br/>
        <w:br/>
        <w:t>【错别字 1/3】『特种工作业证』应改为『特种作业操作证』：特种作业人员必须取得国家相关部门颁发的特种工作业证方可上岗</w:t>
      </w:r>
    </w:p>
    <w:p>
      <w:pPr>
        <w:pStyle w:val="ListBullet"/>
      </w:pPr>
      <w:r>
        <w:rPr>
          <w:b/>
        </w:rPr>
        <w:t>文档证据：</w:t>
      </w:r>
      <w:r>
        <w:t>特种作业人员必须取得国家相关部门颁发的特种工作业证方可上岗</w:t>
      </w:r>
    </w:p>
    <w:p>
      <w:pPr>
        <w:pStyle w:val="ListBullet"/>
      </w:pPr>
      <w:r>
        <w:t>位置：待审文档第5段 2.2.1/4.1.12/4.1.13/4.2.11/4.2.13/4.2.17/4.2.19/三、承包期限/附件3第十六条</w:t>
      </w:r>
    </w:p>
    <w:p>
      <w:pPr>
        <w:pStyle w:val="ListBullet"/>
      </w:pPr>
      <w:r>
        <w:rPr>
          <w:b/>
        </w:rPr>
        <w:t>整改建议：</w:t>
      </w:r>
      <w:r>
        <w:t>将『特种工作业证』修正为『特种作业操作证』</w:t>
      </w:r>
    </w:p>
    <w:p/>
    <w:p>
      <w:r>
        <w:rPr>
          <w:b/>
        </w:rPr>
        <w:t xml:space="preserve">27. </w:t>
      </w:r>
      <w:r>
        <w:rPr>
          <w:sz w:val="22"/>
        </w:rPr>
        <w:t xml:space="preserve">✗ 不合规 </w:t>
      </w:r>
      <w:r>
        <w:rPr>
          <w:b/>
        </w:rPr>
        <w:t>错别字与标点符号规范</w:t>
      </w:r>
      <w:r>
        <w:t>：错别字/错用词：『试用』应改为『试运转』</w:t>
      </w:r>
    </w:p>
    <w:p>
      <w:pPr>
        <w:pStyle w:val="ListBullet"/>
      </w:pPr>
      <w:r>
        <w:t>判定理由：错别字：1. 4.2.19'特种工作业证'多字'工'，应为'特种作业操作证'；2. 4.2.13'试用'应为'试运转'，音近字替换兼漏字；3. 4.2.17'台帐'应为'台账'。标点问题：4.1.13句号误用；4.1.12顿号误用；2.2.1用'+'连接并列项；'2022 年'间多余空格；4.2.11括号内逗号误用；4.2.13'运行调试，试用工作'并列成分逗号误用；附件3第十六条'仪器、仪表和设备、容器'顿号与'和'混用。</w:t>
        <w:br/>
        <w:br/>
        <w:t>【错别字 2/3】『试用』应改为『试运转』：参与各设备的运行调试，试用工作，发现问题应及时汇报甲方负责人员</w:t>
      </w:r>
    </w:p>
    <w:p>
      <w:pPr>
        <w:pStyle w:val="ListBullet"/>
      </w:pPr>
      <w:r>
        <w:rPr>
          <w:b/>
        </w:rPr>
        <w:t>文档证据：</w:t>
      </w:r>
      <w:r>
        <w:t>参与各设备的运行调试，试用工作，发现问题应及时汇报甲方负责人员</w:t>
      </w:r>
    </w:p>
    <w:p>
      <w:pPr>
        <w:pStyle w:val="ListBullet"/>
      </w:pPr>
      <w:r>
        <w:t>位置：待审文档第5段 2.2.1/4.1.12/4.1.13/4.2.11/4.2.13/4.2.17/4.2.19/三、承包期限/附件3第十六条</w:t>
      </w:r>
    </w:p>
    <w:p>
      <w:pPr>
        <w:pStyle w:val="ListBullet"/>
      </w:pPr>
      <w:r>
        <w:rPr>
          <w:b/>
        </w:rPr>
        <w:t>整改建议：</w:t>
      </w:r>
      <w:r>
        <w:t>将『试用』修正为『试运转』</w:t>
      </w:r>
    </w:p>
    <w:p/>
    <w:p>
      <w:r>
        <w:rPr>
          <w:b/>
        </w:rPr>
        <w:t xml:space="preserve">28. </w:t>
      </w:r>
      <w:r>
        <w:rPr>
          <w:sz w:val="22"/>
        </w:rPr>
        <w:t xml:space="preserve">✗ 不合规 </w:t>
      </w:r>
      <w:r>
        <w:rPr>
          <w:b/>
        </w:rPr>
        <w:t>错别字与标点符号规范</w:t>
      </w:r>
      <w:r>
        <w:t>：错别字/错用词：『台帐』应改为『台账』</w:t>
      </w:r>
    </w:p>
    <w:p>
      <w:pPr>
        <w:pStyle w:val="ListBullet"/>
      </w:pPr>
      <w:r>
        <w:t>判定理由：错别字：1. 4.2.19'特种工作业证'多字'工'，应为'特种作业操作证'；2. 4.2.13'试用'应为'试运转'，音近字替换兼漏字；3. 4.2.17'台帐'应为'台账'。标点问题：4.1.13句号误用；4.1.12顿号误用；2.2.1用'+'连接并列项；'2022 年'间多余空格；4.2.11括号内逗号误用；4.2.13'运行调试，试用工作'并列成分逗号误用；附件3第十六条'仪器、仪表和设备、容器'顿号与'和'混用。</w:t>
        <w:br/>
        <w:br/>
        <w:t>【错别字 3/3】『台帐』应改为『台账』：负责建立健全各种台帐，保证数据的完整性和正确性</w:t>
      </w:r>
    </w:p>
    <w:p>
      <w:pPr>
        <w:pStyle w:val="ListBullet"/>
      </w:pPr>
      <w:r>
        <w:rPr>
          <w:b/>
        </w:rPr>
        <w:t>文档证据：</w:t>
      </w:r>
      <w:r>
        <w:t>负责建立健全各种台帐，保证数据的完整性和正确性</w:t>
      </w:r>
    </w:p>
    <w:p>
      <w:pPr>
        <w:pStyle w:val="ListBullet"/>
      </w:pPr>
      <w:r>
        <w:t>位置：待审文档第5段 2.2.1/4.1.12/4.1.13/4.2.11/4.2.13/4.2.17/4.2.19/三、承包期限/附件3第十六条</w:t>
      </w:r>
    </w:p>
    <w:p>
      <w:pPr>
        <w:pStyle w:val="ListBullet"/>
      </w:pPr>
      <w:r>
        <w:rPr>
          <w:b/>
        </w:rPr>
        <w:t>整改建议：</w:t>
      </w:r>
      <w:r>
        <w:t>将『台帐』修正为『台账』</w:t>
      </w:r>
    </w:p>
    <w:p/>
    <w:p>
      <w:r>
        <w:rPr>
          <w:b/>
        </w:rPr>
        <w:t xml:space="preserve">29. </w:t>
      </w:r>
      <w:r>
        <w:rPr>
          <w:sz w:val="22"/>
        </w:rPr>
        <w:t xml:space="preserve">✗ 不合规 </w:t>
      </w:r>
      <w:r>
        <w:rPr>
          <w:b/>
        </w:rPr>
        <w:t>语义通顺性与逻辑一致性</w:t>
      </w:r>
      <w:r>
        <w:t>：存在多处语义不通和逻辑矛盾</w:t>
      </w:r>
    </w:p>
    <w:p>
      <w:pPr>
        <w:pStyle w:val="ListBullet"/>
      </w:pPr>
      <w:r>
        <w:t>判定理由：1.第三十二条'承包方没有与工人签订劳动合同，依法为职工参加工伤社会保险'中'依法'前缺少'没有'，导致否定范围不清、语义矛盾；2.第三十条'未限期整改的'表述歧义，应为'逾期未整改的'；3.附件4质量标准化处罚标准存在逻辑重叠：'达不到二级标准（70分及以上）'与'二级标准以下（70分以下）'均指低于70分，但处罚分别为5000元和10000元；4.目录中'二、法定代表人...'与'二、授权委托书...'编号重复；5.投标函内容列表出现三个'(9)'和两个'(11)'编号重复；6.'投标文件提供资料尽可能详细'主谓搭配不当；7.'擅自改动的罚款2000-5000元/次'语法不通；8.'无须做到投标文件中'用词不当；9.'按照有关法律法规的规定进行执行'中'进行执行'语义重复。</w:t>
      </w:r>
    </w:p>
    <w:p>
      <w:pPr>
        <w:pStyle w:val="ListBullet"/>
      </w:pPr>
      <w:r>
        <w:rPr>
          <w:b/>
        </w:rPr>
        <w:t>文档证据：</w:t>
      </w:r>
      <w:r>
        <w:t>第三十二条'承包方没有与工人签订劳动合同，依法为职工参加工伤社会保险'；附件4'达不到二级标准（70分及以上）的，处罚5000元；二级标准以下（70分以下），处罚10000元'；目录'二、法定代表人...二、授权委托书...'；投标函'（9）投标设备技术性能指标...（9）投标材料质量标准...（9）服务方案...'</w:t>
      </w:r>
    </w:p>
    <w:p>
      <w:pPr>
        <w:pStyle w:val="ListBullet"/>
      </w:pPr>
      <w:r>
        <w:t>位置：待审文档第6/12段 第十九条至第六章</w:t>
      </w:r>
    </w:p>
    <w:p>
      <w:pPr>
        <w:pStyle w:val="ListBullet"/>
      </w:pPr>
      <w:r>
        <w:rPr>
          <w:b/>
        </w:rPr>
        <w:t>整改建议：</w:t>
      </w:r>
      <w:r>
        <w:t>修正语义矛盾：第三十二条补上'没有'；第三十条改为'逾期未整改的'；重新梳理附件4处罚分档逻辑；统一目录及列表编号；调整主谓搭配和用词。</w:t>
      </w:r>
    </w:p>
    <w:p/>
    <w:p>
      <w:r>
        <w:rPr>
          <w:b/>
        </w:rPr>
        <w:t xml:space="preserve">30. </w:t>
      </w:r>
      <w:r>
        <w:rPr>
          <w:sz w:val="22"/>
        </w:rPr>
        <w:t xml:space="preserve">✗ 不合规 </w:t>
      </w:r>
      <w:r>
        <w:rPr>
          <w:b/>
        </w:rPr>
        <w:t>专业术语与表述规范</w:t>
      </w:r>
      <w:r>
        <w:t>：专业术语使用不规范且同一概念表述不统一</w:t>
      </w:r>
    </w:p>
    <w:p>
      <w:pPr>
        <w:pStyle w:val="ListBullet"/>
      </w:pPr>
      <w:r>
        <w:t>判定理由：1.同一主体三种称谓混用：合同条款用'委托方'，附件4用'甲方'，第六章用'招标人'；2.投标函中'固定项目'非标准术语，应为'固定总价'或'固定费用'；3.'三违'（第三十四条）和'四无、五不漏'（附件4）未在首次出现时注明全称；4.目录中'报价表'与投标函列表中'分项报价表'表述不统一；5.目录中'资格证明文件'与投标函列表中'资格审查资料'表述不统一；6.目录中'技术服务、售后服务和质保期服务计划'与投标函列表中'技术服务和质保期服务计划'表述不统一。</w:t>
      </w:r>
    </w:p>
    <w:p>
      <w:pPr>
        <w:pStyle w:val="ListBullet"/>
      </w:pPr>
      <w:r>
        <w:rPr>
          <w:b/>
        </w:rPr>
        <w:t>文档证据：</w:t>
      </w:r>
      <w:r>
        <w:t>第十九条至第四十六条使用'委托方/承包方'，附件4使用'甲方/乙方'，第六章使用'招标人'；投标函'愿意以人民币固定项目 万元/年'；第三十四条'出现三违行为'；附件4'四无、五不漏'；目录'六、报价表'与投标函'（6）分项报价表'</w:t>
      </w:r>
    </w:p>
    <w:p>
      <w:pPr>
        <w:pStyle w:val="ListBullet"/>
      </w:pPr>
      <w:r>
        <w:t>位置：待审文档第6/12段 第十九条至第六章</w:t>
      </w:r>
    </w:p>
    <w:p>
      <w:pPr>
        <w:pStyle w:val="ListBullet"/>
      </w:pPr>
      <w:r>
        <w:rPr>
          <w:b/>
        </w:rPr>
        <w:t>整改建议：</w:t>
      </w:r>
      <w:r>
        <w:t>统一全文术语：明确'委托方=甲方=招标人'、'承包方=乙方=投标人'并在首次出现时说明；'固定项目'改为'固定总价'；首次出现'三违''四无、五不漏'时注明全称；统一'报价表/分项报价表''资格证明文件/资格审查资料'等表述。</w:t>
      </w:r>
    </w:p>
    <w:p/>
    <w:p>
      <w:r>
        <w:rPr>
          <w:b/>
        </w:rPr>
        <w:t xml:space="preserve">31. </w:t>
      </w:r>
      <w:r>
        <w:rPr>
          <w:sz w:val="22"/>
        </w:rPr>
        <w:t xml:space="preserve">✗ 不合规 </w:t>
      </w:r>
      <w:r>
        <w:rPr>
          <w:b/>
        </w:rPr>
        <w:t>错别字与标点符号规范</w:t>
      </w:r>
      <w:r>
        <w:t>：错别字/错用词：『第四十是条』应改为『第四十四条』</w:t>
      </w:r>
    </w:p>
    <w:p>
      <w:pPr>
        <w:pStyle w:val="ListBullet"/>
      </w:pPr>
      <w:r>
        <w:t>判定理由：错别字4处：'应有'应为'应由'（第四十三条）；'第四十是条'应为'第四十四条'；'被做'应为'被作'（投标函注释）；'不可抗拒力'应为'不可抗力'（第四十条）。标点/格式问题：'传真、 扫描件'逗号后多余空格；'， 每发现一处'逗号后多余空格；目录'三、联合体协议书四、投标保证金'缺少分隔；'2000—5000元'与'2000-5000元/次'破折号/连字符混用；'（9）服务方案（适用于服务项目）'缺少分号；'参照《某选煤厂快速装车站系统检修维护承包合同》执行'缺少句号。</w:t>
        <w:br/>
        <w:br/>
        <w:t>【错别字 1/3】『第四十是条』应改为『第四十四条』：第四十是条 本协议在执行中如有未尽事宜</w:t>
      </w:r>
    </w:p>
    <w:p>
      <w:pPr>
        <w:pStyle w:val="ListBullet"/>
      </w:pPr>
      <w:r>
        <w:rPr>
          <w:b/>
        </w:rPr>
        <w:t>文档证据：</w:t>
      </w:r>
      <w:r>
        <w:t>第四十是条 本协议在执行中如有未尽事宜</w:t>
      </w:r>
    </w:p>
    <w:p>
      <w:pPr>
        <w:pStyle w:val="ListBullet"/>
      </w:pPr>
      <w:r>
        <w:t>位置：待审文档第6/12段 第十九条至第六章</w:t>
      </w:r>
    </w:p>
    <w:p>
      <w:pPr>
        <w:pStyle w:val="ListBullet"/>
      </w:pPr>
      <w:r>
        <w:rPr>
          <w:b/>
        </w:rPr>
        <w:t>整改建议：</w:t>
      </w:r>
      <w:r>
        <w:t>将『第四十是条』修正为『第四十四条』</w:t>
      </w:r>
    </w:p>
    <w:p/>
    <w:p>
      <w:r>
        <w:rPr>
          <w:b/>
        </w:rPr>
        <w:t xml:space="preserve">32. </w:t>
      </w:r>
      <w:r>
        <w:rPr>
          <w:sz w:val="22"/>
        </w:rPr>
        <w:t xml:space="preserve">✗ 不合规 </w:t>
      </w:r>
      <w:r>
        <w:rPr>
          <w:b/>
        </w:rPr>
        <w:t>错别字与标点符号规范</w:t>
      </w:r>
      <w:r>
        <w:t>：错别字/错用词：『被做』应改为『被作』</w:t>
      </w:r>
    </w:p>
    <w:p>
      <w:pPr>
        <w:pStyle w:val="ListBullet"/>
      </w:pPr>
      <w:r>
        <w:t>判定理由：错别字4处：'应有'应为'应由'（第四十三条）；'第四十是条'应为'第四十四条'；'被做'应为'被作'（投标函注释）；'不可抗拒力'应为'不可抗力'（第四十条）。标点/格式问题：'传真、 扫描件'逗号后多余空格；'， 每发现一处'逗号后多余空格；目录'三、联合体协议书四、投标保证金'缺少分隔；'2000—5000元'与'2000-5000元/次'破折号/连字符混用；'（9）服务方案（适用于服务项目）'缺少分号；'参照《某选煤厂快速装车站系统检修维护承包合同》执行'缺少句号。</w:t>
        <w:br/>
        <w:br/>
        <w:t>【错别字 2/3】『被做』应改为『被作』：投标函如无签字及盖章，将被做否决投标处理</w:t>
      </w:r>
    </w:p>
    <w:p>
      <w:pPr>
        <w:pStyle w:val="ListBullet"/>
      </w:pPr>
      <w:r>
        <w:rPr>
          <w:b/>
        </w:rPr>
        <w:t>文档证据：</w:t>
      </w:r>
      <w:r>
        <w:t>投标函如无签字及盖章，将被做否决投标处理</w:t>
      </w:r>
    </w:p>
    <w:p>
      <w:pPr>
        <w:pStyle w:val="ListBullet"/>
      </w:pPr>
      <w:r>
        <w:t>位置：待审文档第6/12段 第十九条至第六章</w:t>
      </w:r>
    </w:p>
    <w:p>
      <w:pPr>
        <w:pStyle w:val="ListBullet"/>
      </w:pPr>
      <w:r>
        <w:rPr>
          <w:b/>
        </w:rPr>
        <w:t>整改建议：</w:t>
      </w:r>
      <w:r>
        <w:t>将『被做』修正为『被作』</w:t>
      </w:r>
    </w:p>
    <w:p/>
    <w:p>
      <w:r>
        <w:rPr>
          <w:b/>
        </w:rPr>
        <w:t xml:space="preserve">33. </w:t>
      </w:r>
      <w:r>
        <w:rPr>
          <w:sz w:val="22"/>
        </w:rPr>
        <w:t xml:space="preserve">✗ 不合规 </w:t>
      </w:r>
      <w:r>
        <w:rPr>
          <w:b/>
        </w:rPr>
        <w:t>错别字与标点符号规范</w:t>
      </w:r>
      <w:r>
        <w:t>：错别字/错用词：『不可抗拒力』应改为『不可抗力』</w:t>
      </w:r>
    </w:p>
    <w:p>
      <w:pPr>
        <w:pStyle w:val="ListBullet"/>
      </w:pPr>
      <w:r>
        <w:t>判定理由：错别字4处：'应有'应为'应由'（第四十三条）；'第四十是条'应为'第四十四条'；'被做'应为'被作'（投标函注释）；'不可抗拒力'应为'不可抗力'（第四十条）。标点/格式问题：'传真、 扫描件'逗号后多余空格；'， 每发现一处'逗号后多余空格；目录'三、联合体协议书四、投标保证金'缺少分隔；'2000—5000元'与'2000-5000元/次'破折号/连字符混用；'（9）服务方案（适用于服务项目）'缺少分号；'参照《某选煤厂快速装车站系统检修维护承包合同》执行'缺少句号。</w:t>
        <w:br/>
        <w:br/>
        <w:t>【错别字 3/3】『不可抗拒力』应改为『不可抗力』：因不可抗拒力原因造成伤亡及事故损失</w:t>
      </w:r>
    </w:p>
    <w:p>
      <w:pPr>
        <w:pStyle w:val="ListBullet"/>
      </w:pPr>
      <w:r>
        <w:rPr>
          <w:b/>
        </w:rPr>
        <w:t>文档证据：</w:t>
      </w:r>
      <w:r>
        <w:t>因不可抗拒力原因造成伤亡及事故损失</w:t>
      </w:r>
    </w:p>
    <w:p>
      <w:pPr>
        <w:pStyle w:val="ListBullet"/>
      </w:pPr>
      <w:r>
        <w:t>位置：待审文档第6/12段 第十九条至第六章</w:t>
      </w:r>
    </w:p>
    <w:p>
      <w:pPr>
        <w:pStyle w:val="ListBullet"/>
      </w:pPr>
      <w:r>
        <w:rPr>
          <w:b/>
        </w:rPr>
        <w:t>整改建议：</w:t>
      </w:r>
      <w:r>
        <w:t>将『不可抗拒力』修正为『不可抗力』</w:t>
      </w:r>
    </w:p>
    <w:p/>
    <w:p>
      <w:r>
        <w:rPr>
          <w:b/>
        </w:rPr>
        <w:t xml:space="preserve">34. </w:t>
      </w:r>
      <w:r>
        <w:rPr>
          <w:sz w:val="22"/>
        </w:rPr>
        <w:t xml:space="preserve">⚠ 存疑 </w:t>
      </w:r>
      <w:r>
        <w:rPr>
          <w:b/>
        </w:rPr>
        <w:t>语义通顺性与逻辑一致性</w:t>
      </w:r>
      <w:r>
        <w:t>：存在语句不通和成分残缺问题</w:t>
      </w:r>
    </w:p>
    <w:p>
      <w:pPr>
        <w:pStyle w:val="ListBullet"/>
      </w:pPr>
      <w:r>
        <w:t>判定理由：1.‘本授权书与  年  月  日签字生效’中‘与’字使用不当，应为‘于’，导致语句不通；2.‘本协议书一式份’缺少数量词，成分残缺；3.‘任何书面索赔通知及索赔时需提交的本保函正本原件必须在保函有限期内银行营业时间结束前’缺少谓语，句子不完整；4.‘制造商授出具的授权书’多字导致语义错误；5.‘此下简称项目’中‘此下’应为‘以下’，用词不当。</w:t>
      </w:r>
    </w:p>
    <w:p>
      <w:pPr>
        <w:pStyle w:val="ListBullet"/>
      </w:pPr>
      <w:r>
        <w:rPr>
          <w:b/>
        </w:rPr>
        <w:t>文档证据：</w:t>
      </w:r>
      <w:r>
        <w:t>本授权书与  年  月  日签字生效；本协议书一式份；任何书面索赔通知及索赔时需提交的本保函正本原件必须在保函有限期内银行营业时间结束前；应为制造商授出具的授权书；项目(此下简称项目）</w:t>
      </w:r>
    </w:p>
    <w:p>
      <w:pPr>
        <w:pStyle w:val="ListBullet"/>
      </w:pPr>
      <w:r>
        <w:t>位置：待审文档 第7段</w:t>
      </w:r>
    </w:p>
    <w:p>
      <w:pPr>
        <w:pStyle w:val="ListBullet"/>
      </w:pPr>
      <w:r>
        <w:rPr>
          <w:b/>
        </w:rPr>
        <w:t>整改建议：</w:t>
      </w:r>
      <w:r>
        <w:t>将‘与’改为‘于’；在‘一式’后补充数量词；完善句子谓语；删除多余的‘授’；将‘此下’改为‘以下’。</w:t>
      </w:r>
    </w:p>
    <w:p/>
    <w:p>
      <w:r>
        <w:rPr>
          <w:b/>
        </w:rPr>
        <w:t xml:space="preserve">35. </w:t>
      </w:r>
      <w:r>
        <w:rPr>
          <w:sz w:val="22"/>
        </w:rPr>
        <w:t xml:space="preserve">⚠ 存疑 </w:t>
      </w:r>
      <w:r>
        <w:rPr>
          <w:b/>
        </w:rPr>
        <w:t>专业术语与表述规范</w:t>
      </w:r>
      <w:r>
        <w:t>：专业术语使用不统一</w:t>
      </w:r>
    </w:p>
    <w:p>
      <w:pPr>
        <w:pStyle w:val="ListBullet"/>
      </w:pPr>
      <w:r>
        <w:t>判定理由：1.‘投标供应商’与‘投标人’混用；2.‘资格审查标准’与‘资格评审标准’混用；3.履约保函格式中‘合同履约保证金’表述与‘履约保函’不一致。</w:t>
      </w:r>
    </w:p>
    <w:p>
      <w:pPr>
        <w:pStyle w:val="ListBullet"/>
      </w:pPr>
      <w:r>
        <w:rPr>
          <w:b/>
        </w:rPr>
        <w:t>文档证据：</w:t>
      </w:r>
      <w:r>
        <w:t>2.投标供应商近三年会计师事务所出具完整的审计报告；招标文件第二章投标人须知1.4和第三章评标办法前附表2.1.2资格审查标准中要求的其他内容；（合同编号）合同履约保证金</w:t>
      </w:r>
    </w:p>
    <w:p>
      <w:pPr>
        <w:pStyle w:val="ListBullet"/>
      </w:pPr>
      <w:r>
        <w:t>位置：待审文档 第7段</w:t>
      </w:r>
    </w:p>
    <w:p>
      <w:pPr>
        <w:pStyle w:val="ListBullet"/>
      </w:pPr>
      <w:r>
        <w:rPr>
          <w:b/>
        </w:rPr>
        <w:t>整改建议：</w:t>
      </w:r>
      <w:r>
        <w:t>统一使用‘投标人’；统一为‘资格评审标准’；将‘合同履约保证金’改为‘履约保函’或明确其含义。</w:t>
      </w:r>
    </w:p>
    <w:p/>
    <w:p>
      <w:r>
        <w:rPr>
          <w:b/>
        </w:rPr>
        <w:t xml:space="preserve">36. </w:t>
      </w:r>
      <w:r>
        <w:rPr>
          <w:sz w:val="22"/>
        </w:rPr>
        <w:t xml:space="preserve">⚠ 存疑 </w:t>
      </w:r>
      <w:r>
        <w:rPr>
          <w:b/>
        </w:rPr>
        <w:t>错别字与标点符号规范</w:t>
      </w:r>
      <w:r>
        <w:t>：错别字/错用词：『与』应改为『于』</w:t>
      </w:r>
    </w:p>
    <w:p>
      <w:pPr>
        <w:pStyle w:val="ListBullet"/>
      </w:pPr>
      <w:r>
        <w:t>判定理由：发现错别字：1.‘与’应为‘于’；2.‘一式份’漏字；3.‘授’多余；4-6.‘此下’应为‘以下’（三处）；7-8.‘有限期’应为‘有效期’（两处）。另存在中英文括号混用，如‘项目(此下简称项目）’。</w:t>
        <w:br/>
        <w:br/>
        <w:t>【错别字 1/4】『与』应改为『于』：本授权书与  年  月  日签字生效，特此声明</w:t>
      </w:r>
    </w:p>
    <w:p>
      <w:pPr>
        <w:pStyle w:val="ListBullet"/>
      </w:pPr>
      <w:r>
        <w:rPr>
          <w:b/>
        </w:rPr>
        <w:t>文档证据：</w:t>
      </w:r>
      <w:r>
        <w:t>本授权书与  年  月  日签字生效，特此声明</w:t>
      </w:r>
    </w:p>
    <w:p>
      <w:pPr>
        <w:pStyle w:val="ListBullet"/>
      </w:pPr>
      <w:r>
        <w:t>位置：待审文档 第7段</w:t>
      </w:r>
    </w:p>
    <w:p>
      <w:pPr>
        <w:pStyle w:val="ListBullet"/>
      </w:pPr>
      <w:r>
        <w:rPr>
          <w:b/>
        </w:rPr>
        <w:t>整改建议：</w:t>
      </w:r>
      <w:r>
        <w:t>将『与』修正为『于』</w:t>
      </w:r>
    </w:p>
    <w:p/>
    <w:p>
      <w:r>
        <w:rPr>
          <w:b/>
        </w:rPr>
        <w:t xml:space="preserve">37. </w:t>
      </w:r>
      <w:r>
        <w:rPr>
          <w:sz w:val="22"/>
        </w:rPr>
        <w:t xml:space="preserve">⚠ 存疑 </w:t>
      </w:r>
      <w:r>
        <w:rPr>
          <w:b/>
        </w:rPr>
        <w:t>错别字与标点符号规范</w:t>
      </w:r>
      <w:r>
        <w:t>：错别字/错用词：『一式份』应改为『一式 份』</w:t>
      </w:r>
    </w:p>
    <w:p>
      <w:pPr>
        <w:pStyle w:val="ListBullet"/>
      </w:pPr>
      <w:r>
        <w:t>判定理由：发现错别字：1.‘与’应为‘于’；2.‘一式份’漏字；3.‘授’多余；4-6.‘此下’应为‘以下’（三处）；7-8.‘有限期’应为‘有效期’（两处）。另存在中英文括号混用，如‘项目(此下简称项目）’。</w:t>
        <w:br/>
        <w:br/>
        <w:t>【错别字 2/4】『一式份』应改为『一式 份』：本协议书一式份，联合体成员和招标人各执一份</w:t>
      </w:r>
    </w:p>
    <w:p>
      <w:pPr>
        <w:pStyle w:val="ListBullet"/>
      </w:pPr>
      <w:r>
        <w:rPr>
          <w:b/>
        </w:rPr>
        <w:t>文档证据：</w:t>
      </w:r>
      <w:r>
        <w:t>本协议书一式份，联合体成员和招标人各执一份</w:t>
      </w:r>
    </w:p>
    <w:p>
      <w:pPr>
        <w:pStyle w:val="ListBullet"/>
      </w:pPr>
      <w:r>
        <w:t>位置：待审文档 第7段</w:t>
      </w:r>
    </w:p>
    <w:p>
      <w:pPr>
        <w:pStyle w:val="ListBullet"/>
      </w:pPr>
      <w:r>
        <w:rPr>
          <w:b/>
        </w:rPr>
        <w:t>整改建议：</w:t>
      </w:r>
      <w:r>
        <w:t>将『一式份』修正为『一式 份』</w:t>
      </w:r>
    </w:p>
    <w:p/>
    <w:p>
      <w:r>
        <w:rPr>
          <w:b/>
        </w:rPr>
        <w:t xml:space="preserve">38. </w:t>
      </w:r>
      <w:r>
        <w:rPr>
          <w:sz w:val="22"/>
        </w:rPr>
        <w:t xml:space="preserve">⚠ 存疑 </w:t>
      </w:r>
      <w:r>
        <w:rPr>
          <w:b/>
        </w:rPr>
        <w:t>错别字与标点符号规范</w:t>
      </w:r>
      <w:r>
        <w:t>：错别字/错用词：『此下』应改为『以下』</w:t>
      </w:r>
    </w:p>
    <w:p>
      <w:pPr>
        <w:pStyle w:val="ListBullet"/>
      </w:pPr>
      <w:r>
        <w:t>判定理由：发现错别字：1.‘与’应为‘于’；2.‘一式份’漏字；3.‘授’多余；4-6.‘此下’应为‘以下’（三处）；7-8.‘有限期’应为‘有效期’（两处）。另存在中英文括号混用，如‘项目(此下简称项目）’。</w:t>
        <w:br/>
        <w:br/>
        <w:t>【错别字 3/4】『此下』应改为『以下』：项目(此下简称项目）项下</w:t>
      </w:r>
    </w:p>
    <w:p>
      <w:pPr>
        <w:pStyle w:val="ListBullet"/>
      </w:pPr>
      <w:r>
        <w:rPr>
          <w:b/>
        </w:rPr>
        <w:t>文档证据：</w:t>
      </w:r>
      <w:r>
        <w:t>项目(此下简称项目）项下</w:t>
      </w:r>
    </w:p>
    <w:p>
      <w:pPr>
        <w:pStyle w:val="ListBullet"/>
      </w:pPr>
      <w:r>
        <w:t>位置：待审文档 第7段</w:t>
      </w:r>
    </w:p>
    <w:p>
      <w:pPr>
        <w:pStyle w:val="ListBullet"/>
      </w:pPr>
      <w:r>
        <w:rPr>
          <w:b/>
        </w:rPr>
        <w:t>整改建议：</w:t>
      </w:r>
      <w:r>
        <w:t>将『此下』修正为『以下』</w:t>
      </w:r>
    </w:p>
    <w:p/>
    <w:p>
      <w:r>
        <w:rPr>
          <w:b/>
        </w:rPr>
        <w:t xml:space="preserve">39. </w:t>
      </w:r>
      <w:r>
        <w:rPr>
          <w:sz w:val="22"/>
        </w:rPr>
        <w:t xml:space="preserve">⚠ 存疑 </w:t>
      </w:r>
      <w:r>
        <w:rPr>
          <w:b/>
        </w:rPr>
        <w:t>错别字与标点符号规范</w:t>
      </w:r>
      <w:r>
        <w:t>：错别字/错用词：『有限期』应改为『有效期』</w:t>
      </w:r>
    </w:p>
    <w:p>
      <w:pPr>
        <w:pStyle w:val="ListBullet"/>
      </w:pPr>
      <w:r>
        <w:t>判定理由：发现错别字：1.‘与’应为‘于’；2.‘一式份’漏字；3.‘授’多余；4-6.‘此下’应为‘以下’（三处）；7-8.‘有限期’应为‘有效期’（两处）。另存在中英文括号混用，如‘项目(此下简称项目）’。</w:t>
        <w:br/>
        <w:br/>
        <w:t>【错别字 4/4】『有限期』应改为『有效期』：合同规定的保函有限期尚未期满</w:t>
      </w:r>
    </w:p>
    <w:p>
      <w:pPr>
        <w:pStyle w:val="ListBullet"/>
      </w:pPr>
      <w:r>
        <w:rPr>
          <w:b/>
        </w:rPr>
        <w:t>文档证据：</w:t>
      </w:r>
      <w:r>
        <w:t>合同规定的保函有限期尚未期满</w:t>
      </w:r>
    </w:p>
    <w:p>
      <w:pPr>
        <w:pStyle w:val="ListBullet"/>
      </w:pPr>
      <w:r>
        <w:t>位置：待审文档 第7段</w:t>
      </w:r>
    </w:p>
    <w:p>
      <w:pPr>
        <w:pStyle w:val="ListBullet"/>
      </w:pPr>
      <w:r>
        <w:rPr>
          <w:b/>
        </w:rPr>
        <w:t>整改建议：</w:t>
      </w:r>
      <w:r>
        <w:t>将『有限期』修正为『有效期』</w:t>
      </w:r>
    </w:p>
    <w:p/>
    <w:p>
      <w:r>
        <w:rPr>
          <w:b/>
        </w:rPr>
        <w:t xml:space="preserve">40. </w:t>
      </w:r>
      <w:r>
        <w:rPr>
          <w:sz w:val="22"/>
        </w:rPr>
        <w:t xml:space="preserve">✗ 不合规 </w:t>
      </w:r>
      <w:r>
        <w:rPr>
          <w:b/>
        </w:rPr>
        <w:t>语义通顺性与逻辑一致性</w:t>
      </w:r>
      <w:r>
        <w:t>：设备清单存在数量与参数矛盾及语义不明</w:t>
      </w:r>
    </w:p>
    <w:p>
      <w:pPr>
        <w:pStyle w:val="ListBullet"/>
      </w:pPr>
      <w:r>
        <w:t>判定理由：表格1中序号3'卸料闸门系统'下'液压油缸'数量列为2条，但参数栏写'16条'，数量与参数明显矛盾；序号13'冷暖空调'下'控制室及控制室'表述重复且语义不明；序号8'标定砝码'下混入'电磁换向阀''叠加式节流阀'，与标定砝码逻辑不相关；序号6'除尘系统'下'风机'重复出现两次，可能造成歧义。</w:t>
      </w:r>
    </w:p>
    <w:p>
      <w:pPr>
        <w:pStyle w:val="ListBullet"/>
      </w:pPr>
      <w:r>
        <w:rPr>
          <w:b/>
        </w:rPr>
        <w:t>文档证据：</w:t>
      </w:r>
      <w:r>
        <w:t>3 | 卸料闸门系统 | 液压油缸 | 80/45-800  力士乐 16条 | 条 | 2；13 | 冷暖空调 | 控制室及控制室 | 海尔3P | 个 | 2；8 | 标定砝码 | 电磁换向阀 4WE10 1 REXROTH | REXROTH | 个 | 1</w:t>
      </w:r>
    </w:p>
    <w:p>
      <w:pPr>
        <w:pStyle w:val="ListBullet"/>
      </w:pPr>
      <w:r>
        <w:t>位置：待审文档 第8段 附件表格1</w:t>
      </w:r>
    </w:p>
    <w:p>
      <w:pPr>
        <w:pStyle w:val="ListBullet"/>
      </w:pPr>
      <w:r>
        <w:rPr>
          <w:b/>
        </w:rPr>
        <w:t>整改建议：</w:t>
      </w:r>
      <w:r>
        <w:t>核对设备清单，修正数量与参数对应关系；明确'控制室及控制室'的具体指向；将电磁阀等移出标定砝码类别；合并或区分重复的风机条目。</w:t>
      </w:r>
    </w:p>
    <w:p/>
    <w:p>
      <w:r>
        <w:rPr>
          <w:b/>
        </w:rPr>
        <w:t xml:space="preserve">41. </w:t>
      </w:r>
      <w:r>
        <w:rPr>
          <w:sz w:val="22"/>
        </w:rPr>
        <w:t xml:space="preserve">✗ 不合规 </w:t>
      </w:r>
      <w:r>
        <w:rPr>
          <w:b/>
        </w:rPr>
        <w:t>专业术语与表述规范</w:t>
      </w:r>
      <w:r>
        <w:t>：专业术语使用不规范，存在漏字及单位大小写错误</w:t>
      </w:r>
    </w:p>
    <w:p>
      <w:pPr>
        <w:pStyle w:val="ListBullet"/>
      </w:pPr>
      <w:r>
        <w:t>判定理由：多处术语不规范：'无极变速箱'应为'无级变速箱'；'站内视频监系统'漏'控'字，应为'站内视频监控系统'；压力单位'4MP''9MP'应为'4MPa''9MPa'；功率单位'KW''kw'应为'kW'；电压'10KV'应为'10kV'，'380'应为'380V'；'Mpa'应为'MPa'。同一概念表述不统一。</w:t>
      </w:r>
    </w:p>
    <w:p>
      <w:pPr>
        <w:pStyle w:val="ListBullet"/>
      </w:pPr>
      <w:r>
        <w:rPr>
          <w:b/>
        </w:rPr>
        <w:t>文档证据：</w:t>
      </w:r>
      <w:r>
        <w:t>无极变速箱 WSAT67/Y0.55-1350-M1；站内视频监系统；压力：4MP；工作压力9MP；功率18.5KW；10KV变380</w:t>
      </w:r>
    </w:p>
    <w:p>
      <w:pPr>
        <w:pStyle w:val="ListBullet"/>
      </w:pPr>
      <w:r>
        <w:t>位置：待审文档 第8段 附件表格1</w:t>
      </w:r>
    </w:p>
    <w:p>
      <w:pPr>
        <w:pStyle w:val="ListBullet"/>
      </w:pPr>
      <w:r>
        <w:rPr>
          <w:b/>
        </w:rPr>
        <w:t>整改建议：</w:t>
      </w:r>
      <w:r>
        <w:t>统一规范术语和单位，按国家标准修改：无级变速箱、视频监控系统、MPa、kW、kV、V等。</w:t>
      </w:r>
    </w:p>
    <w:p/>
    <w:p>
      <w:r>
        <w:rPr>
          <w:b/>
        </w:rPr>
        <w:t xml:space="preserve">42. </w:t>
      </w:r>
      <w:r>
        <w:rPr>
          <w:sz w:val="22"/>
        </w:rPr>
        <w:t xml:space="preserve">✗ 不合规 </w:t>
      </w:r>
      <w:r>
        <w:rPr>
          <w:b/>
        </w:rPr>
        <w:t>错别字与标点符号规范</w:t>
      </w:r>
      <w:r>
        <w:t>：错别字/错用词：『无极变速箱』应改为『无级变速箱』</w:t>
      </w:r>
    </w:p>
    <w:p>
      <w:pPr>
        <w:pStyle w:val="ListBullet"/>
      </w:pPr>
      <w:r>
        <w:t>判定理由：扫描发现错别字：'无极变速箱'应为'无级变速箱'（出现2次）；'站内视频监系统'漏'控'字（出现2次）；'4MP'漏'a'应为'4MPa'；'9MP'漏'a'应为'9MPa'。标点问题：'签字(签章)：'使用英文括号，应为中文括号；'容积60L.'句点应为中文句号；多处多余空格。</w:t>
        <w:br/>
        <w:br/>
        <w:t>【错别字 1/4】『无极变速箱』应改为『无级变速箱』：三级采制样系统 | 无极变速箱 | WSAT67/Y0.55-1350-M1 调速范围：5.5-27r/min</w:t>
      </w:r>
    </w:p>
    <w:p>
      <w:pPr>
        <w:pStyle w:val="ListBullet"/>
      </w:pPr>
      <w:r>
        <w:rPr>
          <w:b/>
        </w:rPr>
        <w:t>文档证据：</w:t>
      </w:r>
      <w:r>
        <w:t>三级采制样系统 | 无极变速箱 | WSAT67/Y0.55-1350-M1 调速范围：5.5-27r/min</w:t>
      </w:r>
    </w:p>
    <w:p>
      <w:pPr>
        <w:pStyle w:val="ListBullet"/>
      </w:pPr>
      <w:r>
        <w:t>位置：待审文档 第8段 附件表格1及异议函/投诉书</w:t>
      </w:r>
    </w:p>
    <w:p>
      <w:pPr>
        <w:pStyle w:val="ListBullet"/>
      </w:pPr>
      <w:r>
        <w:rPr>
          <w:b/>
        </w:rPr>
        <w:t>整改建议：</w:t>
      </w:r>
      <w:r>
        <w:t>将『无极变速箱』修正为『无级变速箱』</w:t>
      </w:r>
    </w:p>
    <w:p/>
    <w:p>
      <w:r>
        <w:rPr>
          <w:b/>
        </w:rPr>
        <w:t xml:space="preserve">43. </w:t>
      </w:r>
      <w:r>
        <w:rPr>
          <w:sz w:val="22"/>
        </w:rPr>
        <w:t xml:space="preserve">✗ 不合规 </w:t>
      </w:r>
      <w:r>
        <w:rPr>
          <w:b/>
        </w:rPr>
        <w:t>错别字与标点符号规范</w:t>
      </w:r>
      <w:r>
        <w:t>：错别字/错用词：『站内视频监系统』应改为『站内视频监控系统』</w:t>
      </w:r>
    </w:p>
    <w:p>
      <w:pPr>
        <w:pStyle w:val="ListBullet"/>
      </w:pPr>
      <w:r>
        <w:t>判定理由：扫描发现错别字：'无极变速箱'应为'无级变速箱'（出现2次）；'站内视频监系统'漏'控'字（出现2次）；'4MP'漏'a'应为'4MPa'；'9MP'漏'a'应为'9MPa'。标点问题：'签字(签章)：'使用英文括号，应为中文括号；'容积60L.'句点应为中文句号；多处多余空格。</w:t>
        <w:br/>
        <w:br/>
        <w:t>【错别字 2/4】『站内视频监系统』应改为『站内视频监控系统』：南控制室 | 站内视频监系统 | 台式电脑</w:t>
      </w:r>
    </w:p>
    <w:p>
      <w:pPr>
        <w:pStyle w:val="ListBullet"/>
      </w:pPr>
      <w:r>
        <w:rPr>
          <w:b/>
        </w:rPr>
        <w:t>文档证据：</w:t>
      </w:r>
      <w:r>
        <w:t>南控制室 | 站内视频监系统 | 台式电脑</w:t>
      </w:r>
    </w:p>
    <w:p>
      <w:pPr>
        <w:pStyle w:val="ListBullet"/>
      </w:pPr>
      <w:r>
        <w:t>位置：待审文档 第8段 附件表格1及异议函/投诉书</w:t>
      </w:r>
    </w:p>
    <w:p>
      <w:pPr>
        <w:pStyle w:val="ListBullet"/>
      </w:pPr>
      <w:r>
        <w:rPr>
          <w:b/>
        </w:rPr>
        <w:t>整改建议：</w:t>
      </w:r>
      <w:r>
        <w:t>将『站内视频监系统』修正为『站内视频监控系统』</w:t>
      </w:r>
    </w:p>
    <w:p/>
    <w:p>
      <w:r>
        <w:rPr>
          <w:b/>
        </w:rPr>
        <w:t xml:space="preserve">44. </w:t>
      </w:r>
      <w:r>
        <w:rPr>
          <w:sz w:val="22"/>
        </w:rPr>
        <w:t xml:space="preserve">✗ 不合规 </w:t>
      </w:r>
      <w:r>
        <w:rPr>
          <w:b/>
        </w:rPr>
        <w:t>错别字与标点符号规范</w:t>
      </w:r>
      <w:r>
        <w:t>：错别字/错用词：『4MP』应改为『4MPa』</w:t>
      </w:r>
    </w:p>
    <w:p>
      <w:pPr>
        <w:pStyle w:val="ListBullet"/>
      </w:pPr>
      <w:r>
        <w:t>判定理由：扫描发现错别字：'无极变速箱'应为'无级变速箱'（出现2次）；'站内视频监系统'漏'控'字（出现2次）；'4MP'漏'a'应为'4MPa'；'9MP'漏'a'应为'9MPa'。标点问题：'签字(签章)：'使用英文括号，应为中文括号；'容积60L.'句点应为中文句号；多处多余空格。</w:t>
        <w:br/>
        <w:br/>
        <w:t>【错别字 3/4】『4MP』应改为『4MPa』：润滑脂泵 WDP-P220 压力：4MP 容积60L.</w:t>
      </w:r>
    </w:p>
    <w:p>
      <w:pPr>
        <w:pStyle w:val="ListBullet"/>
      </w:pPr>
      <w:r>
        <w:rPr>
          <w:b/>
        </w:rPr>
        <w:t>文档证据：</w:t>
      </w:r>
      <w:r>
        <w:t>润滑脂泵 WDP-P220 压力：4MP 容积60L.</w:t>
      </w:r>
    </w:p>
    <w:p>
      <w:pPr>
        <w:pStyle w:val="ListBullet"/>
      </w:pPr>
      <w:r>
        <w:t>位置：待审文档 第8段 附件表格1及异议函/投诉书</w:t>
      </w:r>
    </w:p>
    <w:p>
      <w:pPr>
        <w:pStyle w:val="ListBullet"/>
      </w:pPr>
      <w:r>
        <w:rPr>
          <w:b/>
        </w:rPr>
        <w:t>整改建议：</w:t>
      </w:r>
      <w:r>
        <w:t>将『4MP』修正为『4MPa』</w:t>
      </w:r>
    </w:p>
    <w:p/>
    <w:p>
      <w:r>
        <w:rPr>
          <w:b/>
        </w:rPr>
        <w:t xml:space="preserve">45. </w:t>
      </w:r>
      <w:r>
        <w:rPr>
          <w:sz w:val="22"/>
        </w:rPr>
        <w:t xml:space="preserve">✗ 不合规 </w:t>
      </w:r>
      <w:r>
        <w:rPr>
          <w:b/>
        </w:rPr>
        <w:t>错别字与标点符号规范</w:t>
      </w:r>
      <w:r>
        <w:t>：错别字/错用词：『9MP』应改为『9MPa』</w:t>
      </w:r>
    </w:p>
    <w:p>
      <w:pPr>
        <w:pStyle w:val="ListBullet"/>
      </w:pPr>
      <w:r>
        <w:t>判定理由：扫描发现错别字：'无极变速箱'应为'无级变速箱'（出现2次）；'站内视频监系统'漏'控'字（出现2次）；'4MP'漏'a'应为'4MPa'；'9MP'漏'a'应为'9MPa'。标点问题：'签字(签章)：'使用英文括号，应为中文括号；'容积60L.'句点应为中文句号；多处多余空格。</w:t>
        <w:br/>
        <w:br/>
        <w:t>【错别字 4/4】『9MP』应改为『9MPa』：氮气罐100L NSQ-AB-100/20/L-Y 工作压力9MP。</w:t>
      </w:r>
    </w:p>
    <w:p>
      <w:pPr>
        <w:pStyle w:val="ListBullet"/>
      </w:pPr>
      <w:r>
        <w:rPr>
          <w:b/>
        </w:rPr>
        <w:t>文档证据：</w:t>
      </w:r>
      <w:r>
        <w:t>氮气罐100L NSQ-AB-100/20/L-Y 工作压力9MP。</w:t>
      </w:r>
    </w:p>
    <w:p>
      <w:pPr>
        <w:pStyle w:val="ListBullet"/>
      </w:pPr>
      <w:r>
        <w:t>位置：待审文档 第8段 附件表格1及异议函/投诉书</w:t>
      </w:r>
    </w:p>
    <w:p>
      <w:pPr>
        <w:pStyle w:val="ListBullet"/>
      </w:pPr>
      <w:r>
        <w:rPr>
          <w:b/>
        </w:rPr>
        <w:t>整改建议：</w:t>
      </w:r>
      <w:r>
        <w:t>将『9MP』修正为『9MPa』</w:t>
      </w:r>
    </w:p>
    <w:p/>
    <w:p>
      <w:r>
        <w:rPr>
          <w:b/>
        </w:rPr>
        <w:t xml:space="preserve">46. </w:t>
      </w:r>
      <w:r>
        <w:rPr>
          <w:sz w:val="22"/>
        </w:rPr>
        <w:t xml:space="preserve">✗ 不合规 </w:t>
      </w:r>
      <w:r>
        <w:rPr>
          <w:b/>
        </w:rPr>
        <w:t>语义通顺性与逻辑一致性</w:t>
      </w:r>
      <w:r>
        <w:t>：存在多处逻辑矛盾与语义不清</w:t>
      </w:r>
    </w:p>
    <w:p>
      <w:pPr>
        <w:pStyle w:val="ListBullet"/>
      </w:pPr>
      <w:r>
        <w:t>判定理由：1. 4.9电机型号与4.8变量泵型号完全相同（PD140PM04SRS5BC00S00），明显错误；2. 2.3.2条款名称为“投标人确认收到招标文件修改”，内容却写“查看招标文件澄清”，前后不一致；3. 4.4蓄能器“公称容积4×63/L”表述不清；4. 4.1投标文件加密要求“同一项目的所有投标文件必须使用同一把企业CA证书进行加密”逻辑不合理；5. 表格4表头第二行重复“工程类|货物类|服务类”，且费率区间边界值重叠（如≤1000与1000～3000在1000处重叠）；6. 表格5表头“条款号|条款号”重复；7. 条款编号“7”与“7.1、7.4、7.6.1”冲突；8. 10.2“本地”指代不明；9. 3.4.1投标保证金为项目估算价的5%，违反《招标投标法实施条例》第二十六条（不得超过2%）。</w:t>
      </w:r>
    </w:p>
    <w:p>
      <w:pPr>
        <w:pStyle w:val="ListBullet"/>
      </w:pPr>
      <w:r>
        <w:rPr>
          <w:b/>
        </w:rPr>
        <w:t>文档证据：</w:t>
      </w:r>
      <w:r>
        <w:t>4.8变量泵型号PD140PM04SRS5BC00S00；4.9电机型号PD140PM04SRS5BC00S00；2.3.2“投标人确认收到招标文件修改”内容为“查看招标文件澄清”；3.4.1“投标保证金的金额为项目估算价的5%”；表格5“条款号|条款号|评审因素|评审标准”</w:t>
      </w:r>
    </w:p>
    <w:p>
      <w:pPr>
        <w:pStyle w:val="ListBullet"/>
      </w:pPr>
      <w:r>
        <w:t>位置：待审文档第9段（设备清单、表格3、表格4、表格5）</w:t>
      </w:r>
    </w:p>
    <w:p>
      <w:pPr>
        <w:pStyle w:val="ListBullet"/>
      </w:pPr>
      <w:r>
        <w:rPr>
          <w:b/>
        </w:rPr>
        <w:t>整改建议：</w:t>
      </w:r>
      <w:r>
        <w:t>逐项修正逻辑错误：更正电机型号；统一2.3.2条款内容；明确4.4容积表述；修正加密要求表述；调整表格4表头和区间边界；修正表格5表头；统一条款编号；明确“本地”定义；将保证金比例调整至2%以内。</w:t>
      </w:r>
    </w:p>
    <w:p>
      <w:pPr>
        <w:pStyle w:val="ListBullet"/>
      </w:pPr>
      <w:r>
        <w:rPr>
          <w:b/>
        </w:rPr>
        <w:t>法规依据：</w:t>
      </w:r>
      <w:r>
        <w:t>《招标投标法实施条例》第二十六条</w:t>
      </w:r>
    </w:p>
    <w:p/>
    <w:p>
      <w:r>
        <w:rPr>
          <w:b/>
        </w:rPr>
        <w:t xml:space="preserve">47. </w:t>
      </w:r>
      <w:r>
        <w:rPr>
          <w:sz w:val="22"/>
        </w:rPr>
        <w:t xml:space="preserve">✗ 不合规 </w:t>
      </w:r>
      <w:r>
        <w:rPr>
          <w:b/>
        </w:rPr>
        <w:t>专业术语与表述规范</w:t>
      </w:r>
      <w:r>
        <w:t>：专业术语与单位表述存在多处不规范</w:t>
      </w:r>
    </w:p>
    <w:p>
      <w:pPr>
        <w:pStyle w:val="ListBullet"/>
      </w:pPr>
      <w:r>
        <w:t>判定理由：1. “24寸”应为“24英寸”（5.4）；2. “3p空调”应为“3匹空调”（5.5）；3. “word版”应为“Word版”（2.2.1）；4. “法人签字”应为“法定代表人签字”（3.7.3B）；5. “工人服务保证金”非标准术语（条款7）；6. “kw”应为“kW”（7.2）；7. “l/min”与“L/min”混用（4.2）；8. “m2”应为“㎡”或“m²”（2.5）；9. “投标保障金”与“投标保证金”表述不统一（3.4.1条款名与内容）。</w:t>
      </w:r>
    </w:p>
    <w:p>
      <w:pPr>
        <w:pStyle w:val="ListBullet"/>
      </w:pPr>
      <w:r>
        <w:rPr>
          <w:b/>
        </w:rPr>
        <w:t>文档证据：</w:t>
      </w:r>
      <w:r>
        <w:t>5.4“24寸液晶显示器”；5.5“3p空调”；2.2.1“word版”；3.7.3B“授权委托书应由法人签字”；条款7“工人服务保证金”；7.2“P=0.37kw”；4.2“300l/min和115L/min”；2.5“350m2”</w:t>
      </w:r>
    </w:p>
    <w:p>
      <w:pPr>
        <w:pStyle w:val="ListBullet"/>
      </w:pPr>
      <w:r>
        <w:t>位置：待审文档第9段</w:t>
      </w:r>
    </w:p>
    <w:p>
      <w:pPr>
        <w:pStyle w:val="ListBullet"/>
      </w:pPr>
      <w:r>
        <w:rPr>
          <w:b/>
        </w:rPr>
        <w:t>整改建议：</w:t>
      </w:r>
      <w:r>
        <w:t>统一使用规范术语和单位：英寸、匹、Word、法定代表人、kW、L/min、㎡等。</w:t>
      </w:r>
    </w:p>
    <w:p/>
    <w:p>
      <w:r>
        <w:rPr>
          <w:b/>
        </w:rPr>
        <w:t xml:space="preserve">48. </w:t>
      </w:r>
      <w:r>
        <w:rPr>
          <w:sz w:val="22"/>
        </w:rPr>
        <w:t xml:space="preserve">✗ 不合规 </w:t>
      </w:r>
      <w:r>
        <w:rPr>
          <w:b/>
        </w:rPr>
        <w:t>错别字与标点符号规范</w:t>
      </w:r>
      <w:r>
        <w:t>：错别字/错用词：『蒸气』应改为『蒸汽』</w:t>
      </w:r>
    </w:p>
    <w:p>
      <w:pPr>
        <w:pStyle w:val="ListBullet"/>
      </w:pPr>
      <w:r>
        <w:t>判定理由：错别字4处：“投标保障金”应为“投标保证金”；“蒸气”应为“蒸汽”；“坐椅”应为“座椅”；“最大流”应为“最大流量”。标点/格式问题：半角逗号/句号/分号/冒号混用（2.2、4.2、4.4、4.5、5.3等），多余空格（5.4、5.5、5.6、1.9.1、1.10.1、3.7.3B、10.1.1等），缺少标点（3.4.1、6.1.1、7.1等），“4×63/L”多余“/”，“380V2.2KW”缺少分隔符。</w:t>
        <w:br/>
        <w:br/>
        <w:t>【错别字 1/3】『蒸气』应改为『蒸汽』：装车站内采用蒸气供暖；采暖面积约350m2</w:t>
      </w:r>
    </w:p>
    <w:p>
      <w:pPr>
        <w:pStyle w:val="ListBullet"/>
      </w:pPr>
      <w:r>
        <w:rPr>
          <w:b/>
        </w:rPr>
        <w:t>文档证据：</w:t>
      </w:r>
      <w:r>
        <w:t>装车站内采用蒸气供暖；采暖面积约350m2</w:t>
      </w:r>
    </w:p>
    <w:p>
      <w:pPr>
        <w:pStyle w:val="ListBullet"/>
      </w:pPr>
      <w:r>
        <w:t>位置：待审文档第9段</w:t>
      </w:r>
    </w:p>
    <w:p>
      <w:pPr>
        <w:pStyle w:val="ListBullet"/>
      </w:pPr>
      <w:r>
        <w:rPr>
          <w:b/>
        </w:rPr>
        <w:t>整改建议：</w:t>
      </w:r>
      <w:r>
        <w:t>将『蒸气』修正为『蒸汽』</w:t>
      </w:r>
    </w:p>
    <w:p/>
    <w:p>
      <w:r>
        <w:rPr>
          <w:b/>
        </w:rPr>
        <w:t xml:space="preserve">49. </w:t>
      </w:r>
      <w:r>
        <w:rPr>
          <w:sz w:val="22"/>
        </w:rPr>
        <w:t xml:space="preserve">✗ 不合规 </w:t>
      </w:r>
      <w:r>
        <w:rPr>
          <w:b/>
        </w:rPr>
        <w:t>错别字与标点符号规范</w:t>
      </w:r>
      <w:r>
        <w:t>：错别字/错用词：『坐椅』应改为『座椅』</w:t>
      </w:r>
    </w:p>
    <w:p>
      <w:pPr>
        <w:pStyle w:val="ListBullet"/>
      </w:pPr>
      <w:r>
        <w:t>判定理由：错别字4处：“投标保障金”应为“投标保证金”；“蒸气”应为“蒸汽”；“坐椅”应为“座椅”；“最大流”应为“最大流量”。标点/格式问题：半角逗号/句号/分号/冒号混用（2.2、4.2、4.4、4.5、5.3等），多余空格（5.4、5.5、5.6、1.9.1、1.10.1、3.7.3B、10.1.1等），缺少标点（3.4.1、6.1.1、7.1等），“4×63/L”多余“/”，“380V2.2KW”缺少分隔符。</w:t>
        <w:br/>
        <w:br/>
        <w:t>【错别字 2/3】『坐椅』应改为『座椅』：工控计算机主机及备用机， 24寸液晶显示器、打印机、计算机操作平台及坐椅</w:t>
      </w:r>
    </w:p>
    <w:p>
      <w:pPr>
        <w:pStyle w:val="ListBullet"/>
      </w:pPr>
      <w:r>
        <w:rPr>
          <w:b/>
        </w:rPr>
        <w:t>文档证据：</w:t>
      </w:r>
      <w:r>
        <w:t>工控计算机主机及备用机， 24寸液晶显示器、打印机、计算机操作平台及坐椅</w:t>
      </w:r>
    </w:p>
    <w:p>
      <w:pPr>
        <w:pStyle w:val="ListBullet"/>
      </w:pPr>
      <w:r>
        <w:t>位置：待审文档第9段</w:t>
      </w:r>
    </w:p>
    <w:p>
      <w:pPr>
        <w:pStyle w:val="ListBullet"/>
      </w:pPr>
      <w:r>
        <w:rPr>
          <w:b/>
        </w:rPr>
        <w:t>整改建议：</w:t>
      </w:r>
      <w:r>
        <w:t>将『坐椅』修正为『座椅』</w:t>
      </w:r>
    </w:p>
    <w:p/>
    <w:p>
      <w:r>
        <w:rPr>
          <w:b/>
        </w:rPr>
        <w:t xml:space="preserve">50. </w:t>
      </w:r>
      <w:r>
        <w:rPr>
          <w:sz w:val="22"/>
        </w:rPr>
        <w:t xml:space="preserve">✗ 不合规 </w:t>
      </w:r>
      <w:r>
        <w:rPr>
          <w:b/>
        </w:rPr>
        <w:t>错别字与标点符号规范</w:t>
      </w:r>
      <w:r>
        <w:t>：错别字/错用词：『最大流』应改为『最大流量』</w:t>
      </w:r>
    </w:p>
    <w:p>
      <w:pPr>
        <w:pStyle w:val="ListBullet"/>
      </w:pPr>
      <w:r>
        <w:t>判定理由：错别字4处：“投标保障金”应为“投标保证金”；“蒸气”应为“蒸汽”；“坐椅”应为“座椅”；“最大流”应为“最大流量”。标点/格式问题：半角逗号/句号/分号/冒号混用（2.2、4.2、4.4、4.5、5.3等），多余空格（5.4、5.5、5.6、1.9.1、1.10.1、3.7.3B、10.1.1等），缺少标点（3.4.1、6.1.1、7.1等），“4×63/L”多余“/”，“380V2.2KW”缺少分隔符。</w:t>
        <w:br/>
        <w:br/>
        <w:t>【错别字 3/3】『最大流』应改为『最大流量』：额定压力35MPa.最大流300l/min和115L/min</w:t>
      </w:r>
    </w:p>
    <w:p>
      <w:pPr>
        <w:pStyle w:val="ListBullet"/>
      </w:pPr>
      <w:r>
        <w:rPr>
          <w:b/>
        </w:rPr>
        <w:t>文档证据：</w:t>
      </w:r>
      <w:r>
        <w:t>额定压力35MPa.最大流300l/min和115L/min</w:t>
      </w:r>
    </w:p>
    <w:p>
      <w:pPr>
        <w:pStyle w:val="ListBullet"/>
      </w:pPr>
      <w:r>
        <w:t>位置：待审文档第9段</w:t>
      </w:r>
    </w:p>
    <w:p>
      <w:pPr>
        <w:pStyle w:val="ListBullet"/>
      </w:pPr>
      <w:r>
        <w:rPr>
          <w:b/>
        </w:rPr>
        <w:t>整改建议：</w:t>
      </w:r>
      <w:r>
        <w:t>将『最大流』修正为『最大流量』</w:t>
      </w:r>
    </w:p>
    <w:p/>
    <w:p>
      <w:r>
        <w:rPr>
          <w:b/>
        </w:rPr>
        <w:t xml:space="preserve">51. </w:t>
      </w:r>
      <w:r>
        <w:rPr>
          <w:sz w:val="22"/>
        </w:rPr>
        <w:t xml:space="preserve">✗ 不合规 </w:t>
      </w:r>
      <w:r>
        <w:rPr>
          <w:b/>
        </w:rPr>
        <w:t>语义通顺性与逻辑一致性</w:t>
      </w:r>
      <w:r>
        <w:t>：评分标准分数范围与总分矛盾，费用计算公式错误</w:t>
      </w:r>
    </w:p>
    <w:p>
      <w:pPr>
        <w:pStyle w:val="ListBullet"/>
      </w:pPr>
      <w:r>
        <w:t>判定理由：1. 技术评分标准中“实施方案（35分）”的评分标准写“服务方案较优得28-40分”，超过该项总分35分，逻辑矛盾；2. 表格6“总计”计算公式中“*1.13%（含税）”应为“*1.13”，因增值税税率13%表示加价13%，乘以1.13而非1.13%；3. 表格7中“控制室及控制室”重复，表意不明。</w:t>
      </w:r>
    </w:p>
    <w:p>
      <w:pPr>
        <w:pStyle w:val="ListBullet"/>
      </w:pPr>
      <w:r>
        <w:rPr>
          <w:b/>
        </w:rPr>
        <w:t>文档证据：</w:t>
      </w:r>
      <w:r>
        <w:t>“服务方案较优得28-40分；服务方案一般得20-27分；服务方案较差得1-19分”及“（固定项目    万元/年+      元/吨*汽车装车站发运量200万吨/年+      元/吨*火车装车站发运量300万吨/年）*1.13%（含税）”和“控制室及控制室”</w:t>
      </w:r>
    </w:p>
    <w:p>
      <w:pPr>
        <w:pStyle w:val="ListBullet"/>
      </w:pPr>
      <w:r>
        <w:t>位置：待审文件 第10/12段 评标办法及表格</w:t>
      </w:r>
    </w:p>
    <w:p>
      <w:pPr>
        <w:pStyle w:val="ListBullet"/>
      </w:pPr>
      <w:r>
        <w:rPr>
          <w:b/>
        </w:rPr>
        <w:t>整改建议：</w:t>
      </w:r>
      <w:r>
        <w:t>将实施方案评分标准调整为“较优得28-35分”或调整总分；将总计公式中的“*1.13%”改为“*1.13”；将“控制室及控制室”改为明确名称。</w:t>
      </w:r>
    </w:p>
    <w:p/>
    <w:p>
      <w:r>
        <w:rPr>
          <w:b/>
        </w:rPr>
        <w:t xml:space="preserve">52. </w:t>
      </w:r>
      <w:r>
        <w:rPr>
          <w:sz w:val="22"/>
        </w:rPr>
        <w:t xml:space="preserve">✗ 不合规 </w:t>
      </w:r>
      <w:r>
        <w:rPr>
          <w:b/>
        </w:rPr>
        <w:t>专业术语与表述规范</w:t>
      </w:r>
      <w:r>
        <w:t>：专业术语使用不规范，存在“无极变速箱”等错误</w:t>
      </w:r>
    </w:p>
    <w:p>
      <w:pPr>
        <w:pStyle w:val="ListBullet"/>
      </w:pPr>
      <w:r>
        <w:t>判定理由：“无极变速箱”应为“无级变速箱”，属于专业术语错误；另外单位符号大小写不规范，如“KW”应为“kW”，“MP”应为“MPa”；“PLC”等缩写未注明全称。</w:t>
      </w:r>
    </w:p>
    <w:p>
      <w:pPr>
        <w:pStyle w:val="ListBullet"/>
      </w:pPr>
      <w:r>
        <w:rPr>
          <w:b/>
        </w:rPr>
        <w:t>文档证据：</w:t>
      </w:r>
      <w:r>
        <w:t>“无极变速箱 | WSAT67/Y0.55-1350-M1 调速范围：5.5-27r/min”及“无极变速箱 | 1511-SA-T6 调速范围：5.5-27r/min”</w:t>
      </w:r>
    </w:p>
    <w:p>
      <w:pPr>
        <w:pStyle w:val="ListBullet"/>
      </w:pPr>
      <w:r>
        <w:t>位置：待审文件 第10/12段 表格7</w:t>
      </w:r>
    </w:p>
    <w:p>
      <w:pPr>
        <w:pStyle w:val="ListBullet"/>
      </w:pPr>
      <w:r>
        <w:rPr>
          <w:b/>
        </w:rPr>
        <w:t>整改建议：</w:t>
      </w:r>
      <w:r>
        <w:t>将“无极变速箱”改为“无级变速箱”；统一单位符号大小写；首次出现缩写时注明全称。</w:t>
      </w:r>
    </w:p>
    <w:p/>
    <w:p>
      <w:r>
        <w:rPr>
          <w:b/>
        </w:rPr>
        <w:t xml:space="preserve">53. </w:t>
      </w:r>
      <w:r>
        <w:rPr>
          <w:sz w:val="22"/>
        </w:rPr>
        <w:t xml:space="preserve">✗ 不合规 </w:t>
      </w:r>
      <w:r>
        <w:rPr>
          <w:b/>
        </w:rPr>
        <w:t>错别字与标点符号规范</w:t>
      </w:r>
      <w:r>
        <w:t>：存在错别字“无极”及标点符号不规范</w:t>
      </w:r>
    </w:p>
    <w:p>
      <w:pPr>
        <w:pStyle w:val="ListBullet"/>
      </w:pPr>
      <w:r>
        <w:t>判定理由：发现两处“无极变速箱”应为“无级变速箱”，属于音近字替换；另有多处标点问题，如“0～50t，”末尾逗号多余、“工作压力9MP。”句号多余、“容积60L.”句号多余等。</w:t>
      </w:r>
    </w:p>
    <w:p>
      <w:pPr>
        <w:pStyle w:val="ListBullet"/>
      </w:pPr>
      <w:r>
        <w:rPr>
          <w:b/>
        </w:rPr>
        <w:t>文档证据：</w:t>
      </w:r>
      <w:r>
        <w:t>“无极变速箱 | WSAT67/Y0.55-1350-M1 调速范围：5.5-27r/min”和“无极变速箱 | 1511-SA-T6 调速范围：5.5-27r/min”</w:t>
      </w:r>
    </w:p>
    <w:p>
      <w:pPr>
        <w:pStyle w:val="ListBullet"/>
      </w:pPr>
      <w:r>
        <w:t>位置：待审文件 第10/12段 表格7</w:t>
      </w:r>
    </w:p>
    <w:p>
      <w:pPr>
        <w:pStyle w:val="ListBullet"/>
      </w:pPr>
      <w:r>
        <w:rPr>
          <w:b/>
        </w:rPr>
        <w:t>整改建议：</w:t>
      </w:r>
      <w:r>
        <w:t>将“无极”改为“无级”；删除多余标点。</w:t>
      </w:r>
    </w:p>
    <w:p/>
    <w:p>
      <w:r>
        <w:rPr>
          <w:b/>
        </w:rPr>
        <w:t xml:space="preserve">54. </w:t>
      </w:r>
      <w:r>
        <w:rPr>
          <w:sz w:val="22"/>
        </w:rPr>
        <w:t xml:space="preserve">✗ 不合规 </w:t>
      </w:r>
      <w:r>
        <w:rPr>
          <w:b/>
        </w:rPr>
        <w:t>专业术语与表述规范</w:t>
      </w:r>
      <w:r>
        <w:t>：专业术语不完整且表述不统一</w:t>
      </w:r>
    </w:p>
    <w:p>
      <w:pPr>
        <w:pStyle w:val="ListBullet"/>
      </w:pPr>
      <w:r>
        <w:t>判定理由：存在术语缺失和表述不规范：“站内视频监系统”应为“站内视频监控系统”，与上文“视频监控系统”不统一；“最大流”应为“最大流量”；“10KV变380”缺少电压单位“V”；“台式 电脑”中间多余空格；“工控机 AB品牌”表述不规范。</w:t>
      </w:r>
    </w:p>
    <w:p>
      <w:pPr>
        <w:pStyle w:val="ListBullet"/>
      </w:pPr>
      <w:r>
        <w:rPr>
          <w:b/>
        </w:rPr>
        <w:t>文档证据：</w:t>
      </w:r>
      <w:r>
        <w:t>站内视频监系统 | 台式电脑 | 套 | 1；额定压力35MPa.最大流300l/min和115L/min；10KV变380 | S11-M-1000/10</w:t>
      </w:r>
    </w:p>
    <w:p>
      <w:pPr>
        <w:pStyle w:val="ListBullet"/>
      </w:pPr>
      <w:r>
        <w:t>位置：待审文档 第11段（表格8-11）</w:t>
      </w:r>
    </w:p>
    <w:p>
      <w:pPr>
        <w:pStyle w:val="ListBullet"/>
      </w:pPr>
      <w:r>
        <w:rPr>
          <w:b/>
        </w:rPr>
        <w:t>整改建议：</w:t>
      </w:r>
      <w:r>
        <w:t>统一并修正术语：将“站内视频监系统”改为“站内视频监控系统”，“最大流”改为“最大流量”，“10KV变380”改为“10KV变380V”，删除“台式 电脑”中的多余空格，规范品牌表述。</w:t>
      </w:r>
    </w:p>
    <w:p/>
    <w:p>
      <w:r>
        <w:rPr>
          <w:b/>
        </w:rPr>
        <w:t xml:space="preserve">55. </w:t>
      </w:r>
      <w:r>
        <w:rPr>
          <w:sz w:val="22"/>
        </w:rPr>
        <w:t xml:space="preserve">✗ 不合规 </w:t>
      </w:r>
      <w:r>
        <w:rPr>
          <w:b/>
        </w:rPr>
        <w:t>错别字与标点符号规范</w:t>
      </w:r>
      <w:r>
        <w:t>：错别字/错用词：『站内视频监系统』应改为『站内视频监控系统』</w:t>
      </w:r>
    </w:p>
    <w:p>
      <w:pPr>
        <w:pStyle w:val="ListBullet"/>
      </w:pPr>
      <w:r>
        <w:t>判定理由：扫描发现多处漏字：①“站内视频监系统”漏“控”字；②“最大流”漏“量”字；③“10KV变380”漏“V”字。标点问题包括：“35MPa.”句号应为逗号；“处罚500--2000元”中“--”不规范；“台式 电脑”“室内 的”等多余空格；“380V,  15KW”中逗号及多余空格；“l/min”与“L/min”大小写混用。</w:t>
        <w:br/>
        <w:br/>
        <w:t>【错别字 1/3】『站内视频监系统』应改为『站内视频监控系统』：站内视频监系统 | 台式电脑 | 套 | 1</w:t>
      </w:r>
    </w:p>
    <w:p>
      <w:pPr>
        <w:pStyle w:val="ListBullet"/>
      </w:pPr>
      <w:r>
        <w:rPr>
          <w:b/>
        </w:rPr>
        <w:t>文档证据：</w:t>
      </w:r>
      <w:r>
        <w:t>站内视频监系统 | 台式电脑 | 套 | 1</w:t>
      </w:r>
    </w:p>
    <w:p>
      <w:pPr>
        <w:pStyle w:val="ListBullet"/>
      </w:pPr>
      <w:r>
        <w:t>位置：待审文档 第11段（表格8-11）</w:t>
      </w:r>
    </w:p>
    <w:p>
      <w:pPr>
        <w:pStyle w:val="ListBullet"/>
      </w:pPr>
      <w:r>
        <w:rPr>
          <w:b/>
        </w:rPr>
        <w:t>整改建议：</w:t>
      </w:r>
      <w:r>
        <w:t>将『站内视频监系统』修正为『站内视频监控系统』</w:t>
      </w:r>
    </w:p>
    <w:p/>
    <w:p>
      <w:r>
        <w:rPr>
          <w:b/>
        </w:rPr>
        <w:t xml:space="preserve">56. </w:t>
      </w:r>
      <w:r>
        <w:rPr>
          <w:sz w:val="22"/>
        </w:rPr>
        <w:t xml:space="preserve">✗ 不合规 </w:t>
      </w:r>
      <w:r>
        <w:rPr>
          <w:b/>
        </w:rPr>
        <w:t>错别字与标点符号规范</w:t>
      </w:r>
      <w:r>
        <w:t>：错别字/错用词：『10KV变380』应改为『10KV变380V』</w:t>
      </w:r>
    </w:p>
    <w:p>
      <w:pPr>
        <w:pStyle w:val="ListBullet"/>
      </w:pPr>
      <w:r>
        <w:t>判定理由：扫描发现多处漏字：①“站内视频监系统”漏“控”字；②“最大流”漏“量”字；③“10KV变380”漏“V”字。标点问题包括：“35MPa.”句号应为逗号；“处罚500--2000元”中“--”不规范；“台式 电脑”“室内 的”等多余空格；“380V,  15KW”中逗号及多余空格；“l/min”与“L/min”大小写混用。</w:t>
        <w:br/>
        <w:br/>
        <w:t>【错别字 3/3】『10KV变380』应改为『10KV变380V』：10KV变380 | S11-M-1000/10</w:t>
      </w:r>
    </w:p>
    <w:p>
      <w:pPr>
        <w:pStyle w:val="ListBullet"/>
      </w:pPr>
      <w:r>
        <w:rPr>
          <w:b/>
        </w:rPr>
        <w:t>文档证据：</w:t>
      </w:r>
      <w:r>
        <w:t>10KV变380 | S11-M-1000/10</w:t>
      </w:r>
    </w:p>
    <w:p>
      <w:pPr>
        <w:pStyle w:val="ListBullet"/>
      </w:pPr>
      <w:r>
        <w:t>位置：待审文档 第11段（表格8-11）</w:t>
      </w:r>
    </w:p>
    <w:p>
      <w:pPr>
        <w:pStyle w:val="ListBullet"/>
      </w:pPr>
      <w:r>
        <w:rPr>
          <w:b/>
        </w:rPr>
        <w:t>整改建议：</w:t>
      </w:r>
      <w:r>
        <w:t>将『10KV变380』修正为『10KV变380V』</w:t>
      </w:r>
    </w:p>
    <w:p/>
    <w:p>
      <w:pPr>
        <w:pStyle w:val="Heading1"/>
      </w:pPr>
      <w:r>
        <w:t>三、规则审核结果汇总</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规则</w:t>
            </w:r>
          </w:p>
        </w:tc>
        <w:tc>
          <w:tcPr>
            <w:tcW w:type="dxa" w:w="1440"/>
          </w:tcPr>
          <w:p>
            <w:r>
              <w:t>类别</w:t>
            </w:r>
          </w:p>
        </w:tc>
        <w:tc>
          <w:tcPr>
            <w:tcW w:type="dxa" w:w="1440"/>
          </w:tcPr>
          <w:p>
            <w:r>
              <w:t>严重级</w:t>
            </w:r>
          </w:p>
        </w:tc>
        <w:tc>
          <w:tcPr>
            <w:tcW w:type="dxa" w:w="1440"/>
          </w:tcPr>
          <w:p>
            <w:r>
              <w:t>状态</w:t>
            </w:r>
          </w:p>
        </w:tc>
        <w:tc>
          <w:tcPr>
            <w:tcW w:type="dxa" w:w="1440"/>
          </w:tcPr>
          <w:p>
            <w:r>
              <w:t>问题数</w:t>
            </w:r>
          </w:p>
        </w:tc>
        <w:tc>
          <w:tcPr>
            <w:tcW w:type="dxa" w:w="1440"/>
          </w:tcPr>
          <w:p>
            <w:r>
              <w:t>问题样例</w:t>
            </w:r>
          </w:p>
        </w:tc>
      </w:tr>
      <w:tr>
        <w:tc>
          <w:tcPr>
            <w:tcW w:type="dxa" w:w="1440"/>
          </w:tcPr>
          <w:p>
            <w:r>
              <w:t>投标保证金</w:t>
            </w:r>
          </w:p>
        </w:tc>
        <w:tc>
          <w:tcPr>
            <w:tcW w:type="dxa" w:w="1440"/>
          </w:tcPr>
          <w:p>
            <w:r>
              <w:t>商务</w:t>
            </w:r>
          </w:p>
        </w:tc>
        <w:tc>
          <w:tcPr>
            <w:tcW w:type="dxa" w:w="1440"/>
          </w:tcPr>
          <w:p>
            <w:r>
              <w:t>否决项</w:t>
            </w:r>
          </w:p>
        </w:tc>
        <w:tc>
          <w:tcPr>
            <w:tcW w:type="dxa" w:w="1440"/>
          </w:tcPr>
          <w:p>
            <w:r>
              <w:t>✗ 不合规</w:t>
            </w:r>
          </w:p>
        </w:tc>
        <w:tc>
          <w:tcPr>
            <w:tcW w:type="dxa" w:w="1440"/>
          </w:tcPr>
          <w:p>
            <w:r>
              <w:t>1</w:t>
            </w:r>
          </w:p>
        </w:tc>
        <w:tc>
          <w:tcPr>
            <w:tcW w:type="dxa" w:w="1440"/>
          </w:tcPr>
          <w:p>
            <w:r>
              <w:t>投标保证金比例超过法规上限且未明确从基本账户转出</w:t>
            </w:r>
          </w:p>
        </w:tc>
      </w:tr>
      <w:tr>
        <w:tc>
          <w:tcPr>
            <w:tcW w:type="dxa" w:w="1440"/>
          </w:tcPr>
          <w:p>
            <w:r>
              <w:t>付款条件与合同条款响应</w:t>
            </w:r>
          </w:p>
        </w:tc>
        <w:tc>
          <w:tcPr>
            <w:tcW w:type="dxa" w:w="1440"/>
          </w:tcPr>
          <w:p>
            <w:r>
              <w:t>商务</w:t>
            </w:r>
          </w:p>
        </w:tc>
        <w:tc>
          <w:tcPr>
            <w:tcW w:type="dxa" w:w="1440"/>
          </w:tcPr>
          <w:p>
            <w:r>
              <w:t>重要</w:t>
            </w:r>
          </w:p>
        </w:tc>
        <w:tc>
          <w:tcPr>
            <w:tcW w:type="dxa" w:w="1440"/>
          </w:tcPr>
          <w:p>
            <w:r>
              <w:t>? 待确认</w:t>
            </w:r>
          </w:p>
        </w:tc>
        <w:tc>
          <w:tcPr>
            <w:tcW w:type="dxa" w:w="1440"/>
          </w:tcPr>
          <w:p>
            <w:r>
              <w:t>1</w:t>
            </w:r>
          </w:p>
        </w:tc>
        <w:tc>
          <w:tcPr>
            <w:tcW w:type="dxa" w:w="1440"/>
          </w:tcPr>
          <w:p>
            <w:r/>
          </w:p>
        </w:tc>
      </w:tr>
      <w:tr>
        <w:tc>
          <w:tcPr>
            <w:tcW w:type="dxa" w:w="1440"/>
          </w:tcPr>
          <w:p>
            <w:r>
              <w:t>报价完整性与算术准确性</w:t>
            </w:r>
          </w:p>
        </w:tc>
        <w:tc>
          <w:tcPr>
            <w:tcW w:type="dxa" w:w="1440"/>
          </w:tcPr>
          <w:p>
            <w:r>
              <w:t>商务</w:t>
            </w:r>
          </w:p>
        </w:tc>
        <w:tc>
          <w:tcPr>
            <w:tcW w:type="dxa" w:w="1440"/>
          </w:tcPr>
          <w:p>
            <w:r>
              <w:t>否决项</w:t>
            </w:r>
          </w:p>
        </w:tc>
        <w:tc>
          <w:tcPr>
            <w:tcW w:type="dxa" w:w="1440"/>
          </w:tcPr>
          <w:p>
            <w:r>
              <w:t>✗ 不合规</w:t>
            </w:r>
          </w:p>
        </w:tc>
        <w:tc>
          <w:tcPr>
            <w:tcW w:type="dxa" w:w="1440"/>
          </w:tcPr>
          <w:p>
            <w:r>
              <w:t>1</w:t>
            </w:r>
          </w:p>
        </w:tc>
        <w:tc>
          <w:tcPr>
            <w:tcW w:type="dxa" w:w="1440"/>
          </w:tcPr>
          <w:p>
            <w:r>
              <w:t>结构化规则命中：报价完整性与算术准确性</w:t>
            </w:r>
          </w:p>
        </w:tc>
      </w:tr>
      <w:tr>
        <w:tc>
          <w:tcPr>
            <w:tcW w:type="dxa" w:w="1440"/>
          </w:tcPr>
          <w:p>
            <w:r>
              <w:t>投标有效期与工期承诺</w:t>
            </w:r>
          </w:p>
        </w:tc>
        <w:tc>
          <w:tcPr>
            <w:tcW w:type="dxa" w:w="1440"/>
          </w:tcPr>
          <w:p>
            <w:r>
              <w:t>商务</w:t>
            </w:r>
          </w:p>
        </w:tc>
        <w:tc>
          <w:tcPr>
            <w:tcW w:type="dxa" w:w="1440"/>
          </w:tcPr>
          <w:p>
            <w:r>
              <w:t>重要</w:t>
            </w:r>
          </w:p>
        </w:tc>
        <w:tc>
          <w:tcPr>
            <w:tcW w:type="dxa" w:w="1440"/>
          </w:tcPr>
          <w:p>
            <w:r>
              <w:t>? 待确认</w:t>
            </w:r>
          </w:p>
        </w:tc>
        <w:tc>
          <w:tcPr>
            <w:tcW w:type="dxa" w:w="1440"/>
          </w:tcPr>
          <w:p>
            <w:r>
              <w:t>1</w:t>
            </w:r>
          </w:p>
        </w:tc>
        <w:tc>
          <w:tcPr>
            <w:tcW w:type="dxa" w:w="1440"/>
          </w:tcPr>
          <w:p>
            <w:r/>
          </w:p>
        </w:tc>
      </w:tr>
      <w:tr>
        <w:tc>
          <w:tcPr>
            <w:tcW w:type="dxa" w:w="1440"/>
          </w:tcPr>
          <w:p>
            <w:r>
              <w:t>跨文件信息一致性</w:t>
            </w:r>
          </w:p>
        </w:tc>
        <w:tc>
          <w:tcPr>
            <w:tcW w:type="dxa" w:w="1440"/>
          </w:tcPr>
          <w:p>
            <w:r>
              <w:t>一致性</w:t>
            </w:r>
          </w:p>
        </w:tc>
        <w:tc>
          <w:tcPr>
            <w:tcW w:type="dxa" w:w="1440"/>
          </w:tcPr>
          <w:p>
            <w:r>
              <w:t>重要</w:t>
            </w:r>
          </w:p>
        </w:tc>
        <w:tc>
          <w:tcPr>
            <w:tcW w:type="dxa" w:w="1440"/>
          </w:tcPr>
          <w:p>
            <w:r>
              <w:t>✗ 不合规</w:t>
            </w:r>
          </w:p>
        </w:tc>
        <w:tc>
          <w:tcPr>
            <w:tcW w:type="dxa" w:w="1440"/>
          </w:tcPr>
          <w:p>
            <w:r>
              <w:t>1</w:t>
            </w:r>
          </w:p>
        </w:tc>
        <w:tc>
          <w:tcPr>
            <w:tcW w:type="dxa" w:w="1440"/>
          </w:tcPr>
          <w:p>
            <w:r>
              <w:t>招标文件内部存在多处关键信息不一致</w:t>
            </w:r>
          </w:p>
        </w:tc>
      </w:tr>
      <w:tr>
        <w:tc>
          <w:tcPr>
            <w:tcW w:type="dxa" w:w="1440"/>
          </w:tcPr>
          <w:p>
            <w:r>
              <w:t>与招标文件要求的对应性</w:t>
            </w:r>
          </w:p>
        </w:tc>
        <w:tc>
          <w:tcPr>
            <w:tcW w:type="dxa" w:w="1440"/>
          </w:tcPr>
          <w:p>
            <w:r>
              <w:t>一致性</w:t>
            </w:r>
          </w:p>
        </w:tc>
        <w:tc>
          <w:tcPr>
            <w:tcW w:type="dxa" w:w="1440"/>
          </w:tcPr>
          <w:p>
            <w:r>
              <w:t>否决项</w:t>
            </w:r>
          </w:p>
        </w:tc>
        <w:tc>
          <w:tcPr>
            <w:tcW w:type="dxa" w:w="1440"/>
          </w:tcPr>
          <w:p>
            <w:r>
              <w:t>? 待确认</w:t>
            </w:r>
          </w:p>
        </w:tc>
        <w:tc>
          <w:tcPr>
            <w:tcW w:type="dxa" w:w="1440"/>
          </w:tcPr>
          <w:p>
            <w:r>
              <w:t>1</w:t>
            </w:r>
          </w:p>
        </w:tc>
        <w:tc>
          <w:tcPr>
            <w:tcW w:type="dxa" w:w="1440"/>
          </w:tcPr>
          <w:p>
            <w:r/>
          </w:p>
        </w:tc>
      </w:tr>
      <w:tr>
        <w:tc>
          <w:tcPr>
            <w:tcW w:type="dxa" w:w="1440"/>
          </w:tcPr>
          <w:p>
            <w:r>
              <w:t>必备文件清单完整性</w:t>
            </w:r>
          </w:p>
        </w:tc>
        <w:tc>
          <w:tcPr>
            <w:tcW w:type="dxa" w:w="1440"/>
          </w:tcPr>
          <w:p>
            <w:r>
              <w:t>格式</w:t>
            </w:r>
          </w:p>
        </w:tc>
        <w:tc>
          <w:tcPr>
            <w:tcW w:type="dxa" w:w="1440"/>
          </w:tcPr>
          <w:p>
            <w:r>
              <w:t>否决项</w:t>
            </w:r>
          </w:p>
        </w:tc>
        <w:tc>
          <w:tcPr>
            <w:tcW w:type="dxa" w:w="1440"/>
          </w:tcPr>
          <w:p>
            <w:r>
              <w:t>? 待确认</w:t>
            </w:r>
          </w:p>
        </w:tc>
        <w:tc>
          <w:tcPr>
            <w:tcW w:type="dxa" w:w="1440"/>
          </w:tcPr>
          <w:p>
            <w:r>
              <w:t>1</w:t>
            </w:r>
          </w:p>
        </w:tc>
        <w:tc>
          <w:tcPr>
            <w:tcW w:type="dxa" w:w="1440"/>
          </w:tcPr>
          <w:p>
            <w:r/>
          </w:p>
        </w:tc>
      </w:tr>
      <w:tr>
        <w:tc>
          <w:tcPr>
            <w:tcW w:type="dxa" w:w="1440"/>
          </w:tcPr>
          <w:p>
            <w:r>
              <w:t>签字盖章与法人授权</w:t>
            </w:r>
          </w:p>
        </w:tc>
        <w:tc>
          <w:tcPr>
            <w:tcW w:type="dxa" w:w="1440"/>
          </w:tcPr>
          <w:p>
            <w:r>
              <w:t>格式</w:t>
            </w:r>
          </w:p>
        </w:tc>
        <w:tc>
          <w:tcPr>
            <w:tcW w:type="dxa" w:w="1440"/>
          </w:tcPr>
          <w:p>
            <w:r>
              <w:t>否决项</w:t>
            </w:r>
          </w:p>
        </w:tc>
        <w:tc>
          <w:tcPr>
            <w:tcW w:type="dxa" w:w="1440"/>
          </w:tcPr>
          <w:p>
            <w:r>
              <w:t>? 待确认</w:t>
            </w:r>
          </w:p>
        </w:tc>
        <w:tc>
          <w:tcPr>
            <w:tcW w:type="dxa" w:w="1440"/>
          </w:tcPr>
          <w:p>
            <w:r>
              <w:t>1</w:t>
            </w:r>
          </w:p>
        </w:tc>
        <w:tc>
          <w:tcPr>
            <w:tcW w:type="dxa" w:w="1440"/>
          </w:tcPr>
          <w:p>
            <w:r/>
          </w:p>
        </w:tc>
      </w:tr>
      <w:tr>
        <w:tc>
          <w:tcPr>
            <w:tcW w:type="dxa" w:w="1440"/>
          </w:tcPr>
          <w:p>
            <w:r>
              <w:t>格式规范与编制要求</w:t>
            </w:r>
          </w:p>
        </w:tc>
        <w:tc>
          <w:tcPr>
            <w:tcW w:type="dxa" w:w="1440"/>
          </w:tcPr>
          <w:p>
            <w:r>
              <w:t>格式</w:t>
            </w:r>
          </w:p>
        </w:tc>
        <w:tc>
          <w:tcPr>
            <w:tcW w:type="dxa" w:w="1440"/>
          </w:tcPr>
          <w:p>
            <w:r>
              <w:t>一般</w:t>
            </w:r>
          </w:p>
        </w:tc>
        <w:tc>
          <w:tcPr>
            <w:tcW w:type="dxa" w:w="1440"/>
          </w:tcPr>
          <w:p>
            <w:r>
              <w:t>? 待确认</w:t>
            </w:r>
          </w:p>
        </w:tc>
        <w:tc>
          <w:tcPr>
            <w:tcW w:type="dxa" w:w="1440"/>
          </w:tcPr>
          <w:p>
            <w:r>
              <w:t>1</w:t>
            </w:r>
          </w:p>
        </w:tc>
        <w:tc>
          <w:tcPr>
            <w:tcW w:type="dxa" w:w="1440"/>
          </w:tcPr>
          <w:p>
            <w:r/>
          </w:p>
        </w:tc>
      </w:tr>
      <w:tr>
        <w:tc>
          <w:tcPr>
            <w:tcW w:type="dxa" w:w="1440"/>
          </w:tcPr>
          <w:p>
            <w:r>
              <w:t>附件完整性与引用一致性</w:t>
            </w:r>
          </w:p>
        </w:tc>
        <w:tc>
          <w:tcPr>
            <w:tcW w:type="dxa" w:w="1440"/>
          </w:tcPr>
          <w:p>
            <w:r>
              <w:t>通用</w:t>
            </w:r>
          </w:p>
        </w:tc>
        <w:tc>
          <w:tcPr>
            <w:tcW w:type="dxa" w:w="1440"/>
          </w:tcPr>
          <w:p>
            <w:r>
              <w:t>一般</w:t>
            </w:r>
          </w:p>
        </w:tc>
        <w:tc>
          <w:tcPr>
            <w:tcW w:type="dxa" w:w="1440"/>
          </w:tcPr>
          <w:p>
            <w:r>
              <w:t>⚠ 存疑</w:t>
            </w:r>
          </w:p>
        </w:tc>
        <w:tc>
          <w:tcPr>
            <w:tcW w:type="dxa" w:w="1440"/>
          </w:tcPr>
          <w:p>
            <w:r>
              <w:t>1</w:t>
            </w:r>
          </w:p>
        </w:tc>
        <w:tc>
          <w:tcPr>
            <w:tcW w:type="dxa" w:w="1440"/>
          </w:tcPr>
          <w:p>
            <w:r>
              <w:t>附件齐全但正文引用编号与附件实际编号不一致</w:t>
            </w:r>
          </w:p>
        </w:tc>
      </w:tr>
      <w:tr>
        <w:tc>
          <w:tcPr>
            <w:tcW w:type="dxa" w:w="1440"/>
          </w:tcPr>
          <w:p>
            <w:r>
              <w:t>数字、日期、金额格式统一性</w:t>
            </w:r>
          </w:p>
        </w:tc>
        <w:tc>
          <w:tcPr>
            <w:tcW w:type="dxa" w:w="1440"/>
          </w:tcPr>
          <w:p>
            <w:r>
              <w:t>通用</w:t>
            </w:r>
          </w:p>
        </w:tc>
        <w:tc>
          <w:tcPr>
            <w:tcW w:type="dxa" w:w="1440"/>
          </w:tcPr>
          <w:p>
            <w:r>
              <w:t>一般</w:t>
            </w:r>
          </w:p>
        </w:tc>
        <w:tc>
          <w:tcPr>
            <w:tcW w:type="dxa" w:w="1440"/>
          </w:tcPr>
          <w:p>
            <w:r>
              <w:t>✗ 不合规</w:t>
            </w:r>
          </w:p>
        </w:tc>
        <w:tc>
          <w:tcPr>
            <w:tcW w:type="dxa" w:w="1440"/>
          </w:tcPr>
          <w:p>
            <w:r>
              <w:t>1</w:t>
            </w:r>
          </w:p>
        </w:tc>
        <w:tc>
          <w:tcPr>
            <w:tcW w:type="dxa" w:w="1440"/>
          </w:tcPr>
          <w:p>
            <w:r>
              <w:t>数字、日期、金额格式存在多处不统一</w:t>
            </w:r>
          </w:p>
        </w:tc>
      </w:tr>
      <w:tr>
        <w:tc>
          <w:tcPr>
            <w:tcW w:type="dxa" w:w="1440"/>
          </w:tcPr>
          <w:p>
            <w:r>
              <w:t>引用与出处准确性</w:t>
            </w:r>
          </w:p>
        </w:tc>
        <w:tc>
          <w:tcPr>
            <w:tcW w:type="dxa" w:w="1440"/>
          </w:tcPr>
          <w:p>
            <w:r>
              <w:t>通用</w:t>
            </w:r>
          </w:p>
        </w:tc>
        <w:tc>
          <w:tcPr>
            <w:tcW w:type="dxa" w:w="1440"/>
          </w:tcPr>
          <w:p>
            <w:r>
              <w:t>一般</w:t>
            </w:r>
          </w:p>
        </w:tc>
        <w:tc>
          <w:tcPr>
            <w:tcW w:type="dxa" w:w="1440"/>
          </w:tcPr>
          <w:p>
            <w:r>
              <w:t>⚠ 存疑</w:t>
            </w:r>
          </w:p>
        </w:tc>
        <w:tc>
          <w:tcPr>
            <w:tcW w:type="dxa" w:w="1440"/>
          </w:tcPr>
          <w:p>
            <w:r>
              <w:t>1</w:t>
            </w:r>
          </w:p>
        </w:tc>
        <w:tc>
          <w:tcPr>
            <w:tcW w:type="dxa" w:w="1440"/>
          </w:tcPr>
          <w:p>
            <w:r>
              <w:t>部分引用法规/标准未标注完整出处</w:t>
            </w:r>
          </w:p>
        </w:tc>
      </w:tr>
      <w:tr>
        <w:tc>
          <w:tcPr>
            <w:tcW w:type="dxa" w:w="1440"/>
          </w:tcPr>
          <w:p>
            <w:r>
              <w:t>语义通顺性与逻辑一致性</w:t>
            </w:r>
          </w:p>
        </w:tc>
        <w:tc>
          <w:tcPr>
            <w:tcW w:type="dxa" w:w="1440"/>
          </w:tcPr>
          <w:p>
            <w:r>
              <w:t>通用</w:t>
            </w:r>
          </w:p>
        </w:tc>
        <w:tc>
          <w:tcPr>
            <w:tcW w:type="dxa" w:w="1440"/>
          </w:tcPr>
          <w:p>
            <w:r>
              <w:t>一般</w:t>
            </w:r>
          </w:p>
        </w:tc>
        <w:tc>
          <w:tcPr>
            <w:tcW w:type="dxa" w:w="1440"/>
          </w:tcPr>
          <w:p>
            <w:r>
              <w:t>✗ 不合规</w:t>
            </w:r>
          </w:p>
        </w:tc>
        <w:tc>
          <w:tcPr>
            <w:tcW w:type="dxa" w:w="1440"/>
          </w:tcPr>
          <w:p>
            <w:r>
              <w:t>9</w:t>
            </w:r>
          </w:p>
        </w:tc>
        <w:tc>
          <w:tcPr>
            <w:tcW w:type="dxa" w:w="1440"/>
          </w:tcPr>
          <w:p>
            <w:r>
              <w:t>存在多处前后矛盾信息，如招标编号与项目编号不一致、项目性质表述错误、平台网址及联系电话不一致；编号重复导致逻辑不一致…</w:t>
            </w:r>
          </w:p>
        </w:tc>
      </w:tr>
      <w:tr>
        <w:tc>
          <w:tcPr>
            <w:tcW w:type="dxa" w:w="1440"/>
          </w:tcPr>
          <w:p>
            <w:r>
              <w:t>表格完整性与格式规范</w:t>
            </w:r>
          </w:p>
        </w:tc>
        <w:tc>
          <w:tcPr>
            <w:tcW w:type="dxa" w:w="1440"/>
          </w:tcPr>
          <w:p>
            <w:r>
              <w:t>通用</w:t>
            </w:r>
          </w:p>
        </w:tc>
        <w:tc>
          <w:tcPr>
            <w:tcW w:type="dxa" w:w="1440"/>
          </w:tcPr>
          <w:p>
            <w:r>
              <w:t>一般</w:t>
            </w:r>
          </w:p>
        </w:tc>
        <w:tc>
          <w:tcPr>
            <w:tcW w:type="dxa" w:w="1440"/>
          </w:tcPr>
          <w:p>
            <w:r>
              <w:t>⚠ 存疑</w:t>
            </w:r>
          </w:p>
        </w:tc>
        <w:tc>
          <w:tcPr>
            <w:tcW w:type="dxa" w:w="1440"/>
          </w:tcPr>
          <w:p>
            <w:r>
              <w:t>1</w:t>
            </w:r>
          </w:p>
        </w:tc>
        <w:tc>
          <w:tcPr>
            <w:tcW w:type="dxa" w:w="1440"/>
          </w:tcPr>
          <w:p>
            <w:r>
              <w:t>表格存在表号表名缺失、部分空白单元格及格式不统一问题</w:t>
            </w:r>
          </w:p>
        </w:tc>
      </w:tr>
      <w:tr>
        <w:tc>
          <w:tcPr>
            <w:tcW w:type="dxa" w:w="1440"/>
          </w:tcPr>
          <w:p>
            <w:r>
              <w:t>专业术语与表述规范</w:t>
            </w:r>
          </w:p>
        </w:tc>
        <w:tc>
          <w:tcPr>
            <w:tcW w:type="dxa" w:w="1440"/>
          </w:tcPr>
          <w:p>
            <w:r>
              <w:t>通用</w:t>
            </w:r>
          </w:p>
        </w:tc>
        <w:tc>
          <w:tcPr>
            <w:tcW w:type="dxa" w:w="1440"/>
          </w:tcPr>
          <w:p>
            <w:r>
              <w:t>一般</w:t>
            </w:r>
          </w:p>
        </w:tc>
        <w:tc>
          <w:tcPr>
            <w:tcW w:type="dxa" w:w="1440"/>
          </w:tcPr>
          <w:p>
            <w:r>
              <w:t>✗ 不合规</w:t>
            </w:r>
          </w:p>
        </w:tc>
        <w:tc>
          <w:tcPr>
            <w:tcW w:type="dxa" w:w="1440"/>
          </w:tcPr>
          <w:p>
            <w:r>
              <w:t>10</w:t>
            </w:r>
          </w:p>
        </w:tc>
        <w:tc>
          <w:tcPr>
            <w:tcW w:type="dxa" w:w="1440"/>
          </w:tcPr>
          <w:p>
            <w:r>
              <w:t>专业术语及表述不统一，如“配电系统”与“供配电系统”混用、平台网址不一致、发票名称混用；电子交易平台表述不统一…</w:t>
            </w:r>
          </w:p>
        </w:tc>
      </w:tr>
      <w:tr>
        <w:tc>
          <w:tcPr>
            <w:tcW w:type="dxa" w:w="1440"/>
          </w:tcPr>
          <w:p>
            <w:r>
              <w:t>文档结构完整性（目录、页码）</w:t>
            </w:r>
          </w:p>
        </w:tc>
        <w:tc>
          <w:tcPr>
            <w:tcW w:type="dxa" w:w="1440"/>
          </w:tcPr>
          <w:p>
            <w:r>
              <w:t>通用</w:t>
            </w:r>
          </w:p>
        </w:tc>
        <w:tc>
          <w:tcPr>
            <w:tcW w:type="dxa" w:w="1440"/>
          </w:tcPr>
          <w:p>
            <w:r>
              <w:t>一般</w:t>
            </w:r>
          </w:p>
        </w:tc>
        <w:tc>
          <w:tcPr>
            <w:tcW w:type="dxa" w:w="1440"/>
          </w:tcPr>
          <w:p>
            <w:r>
              <w:t>⚠ 存疑</w:t>
            </w:r>
          </w:p>
        </w:tc>
        <w:tc>
          <w:tcPr>
            <w:tcW w:type="dxa" w:w="1440"/>
          </w:tcPr>
          <w:p>
            <w:r>
              <w:t>1</w:t>
            </w:r>
          </w:p>
        </w:tc>
        <w:tc>
          <w:tcPr>
            <w:tcW w:type="dxa" w:w="1440"/>
          </w:tcPr>
          <w:p>
            <w:r>
              <w:t>目录与正文章节基本对应，但存在内部编号重复且无法核查页码</w:t>
            </w:r>
          </w:p>
        </w:tc>
      </w:tr>
      <w:tr>
        <w:tc>
          <w:tcPr>
            <w:tcW w:type="dxa" w:w="1440"/>
          </w:tcPr>
          <w:p>
            <w:r>
              <w:t>错别字与标点符号规范</w:t>
            </w:r>
          </w:p>
        </w:tc>
        <w:tc>
          <w:tcPr>
            <w:tcW w:type="dxa" w:w="1440"/>
          </w:tcPr>
          <w:p>
            <w:r>
              <w:t>通用</w:t>
            </w:r>
          </w:p>
        </w:tc>
        <w:tc>
          <w:tcPr>
            <w:tcW w:type="dxa" w:w="1440"/>
          </w:tcPr>
          <w:p>
            <w:r>
              <w:t>一般</w:t>
            </w:r>
          </w:p>
        </w:tc>
        <w:tc>
          <w:tcPr>
            <w:tcW w:type="dxa" w:w="1440"/>
          </w:tcPr>
          <w:p>
            <w:r>
              <w:t>✗ 不合规</w:t>
            </w:r>
          </w:p>
        </w:tc>
        <w:tc>
          <w:tcPr>
            <w:tcW w:type="dxa" w:w="1440"/>
          </w:tcPr>
          <w:p>
            <w:r>
              <w:t>29</w:t>
            </w:r>
          </w:p>
        </w:tc>
        <w:tc>
          <w:tcPr>
            <w:tcW w:type="dxa" w:w="1440"/>
          </w:tcPr>
          <w:p>
            <w:r>
              <w:t>错别字/错用词：『登陆』应改为『登录』；错别字/错用词：『1000』应改为『100000』…</w:t>
            </w:r>
          </w:p>
        </w:tc>
      </w:tr>
      <w:tr>
        <w:tc>
          <w:tcPr>
            <w:tcW w:type="dxa" w:w="1440"/>
          </w:tcPr>
          <w:p>
            <w:r>
              <w:t>资质证书与等级要求</w:t>
            </w:r>
          </w:p>
        </w:tc>
        <w:tc>
          <w:tcPr>
            <w:tcW w:type="dxa" w:w="1440"/>
          </w:tcPr>
          <w:p>
            <w:r>
              <w:t>资格性</w:t>
            </w:r>
          </w:p>
        </w:tc>
        <w:tc>
          <w:tcPr>
            <w:tcW w:type="dxa" w:w="1440"/>
          </w:tcPr>
          <w:p>
            <w:r>
              <w:t>否决项</w:t>
            </w:r>
          </w:p>
        </w:tc>
        <w:tc>
          <w:tcPr>
            <w:tcW w:type="dxa" w:w="1440"/>
          </w:tcPr>
          <w:p>
            <w:r>
              <w:t>? 待确认</w:t>
            </w:r>
          </w:p>
        </w:tc>
        <w:tc>
          <w:tcPr>
            <w:tcW w:type="dxa" w:w="1440"/>
          </w:tcPr>
          <w:p>
            <w:r>
              <w:t>1</w:t>
            </w:r>
          </w:p>
        </w:tc>
        <w:tc>
          <w:tcPr>
            <w:tcW w:type="dxa" w:w="1440"/>
          </w:tcPr>
          <w:p>
            <w:r/>
          </w:p>
        </w:tc>
      </w:tr>
      <w:tr>
        <w:tc>
          <w:tcPr>
            <w:tcW w:type="dxa" w:w="1440"/>
          </w:tcPr>
          <w:p>
            <w:r>
              <w:t>联合体投标合规性</w:t>
            </w:r>
          </w:p>
        </w:tc>
        <w:tc>
          <w:tcPr>
            <w:tcW w:type="dxa" w:w="1440"/>
          </w:tcPr>
          <w:p>
            <w:r>
              <w:t>资格性</w:t>
            </w:r>
          </w:p>
        </w:tc>
        <w:tc>
          <w:tcPr>
            <w:tcW w:type="dxa" w:w="1440"/>
          </w:tcPr>
          <w:p>
            <w:r>
              <w:t>重要</w:t>
            </w:r>
          </w:p>
        </w:tc>
        <w:tc>
          <w:tcPr>
            <w:tcW w:type="dxa" w:w="1440"/>
          </w:tcPr>
          <w:p>
            <w:r>
              <w:t>? 待确认</w:t>
            </w:r>
          </w:p>
        </w:tc>
        <w:tc>
          <w:tcPr>
            <w:tcW w:type="dxa" w:w="1440"/>
          </w:tcPr>
          <w:p>
            <w:r>
              <w:t>1</w:t>
            </w:r>
          </w:p>
        </w:tc>
        <w:tc>
          <w:tcPr>
            <w:tcW w:type="dxa" w:w="1440"/>
          </w:tcPr>
          <w:p>
            <w:r/>
          </w:p>
        </w:tc>
      </w:tr>
      <w:tr>
        <w:tc>
          <w:tcPr>
            <w:tcW w:type="dxa" w:w="1440"/>
          </w:tcPr>
          <w:p>
            <w:r>
              <w:t>信用与禁止投标情形</w:t>
            </w:r>
          </w:p>
        </w:tc>
        <w:tc>
          <w:tcPr>
            <w:tcW w:type="dxa" w:w="1440"/>
          </w:tcPr>
          <w:p>
            <w:r>
              <w:t>资格性</w:t>
            </w:r>
          </w:p>
        </w:tc>
        <w:tc>
          <w:tcPr>
            <w:tcW w:type="dxa" w:w="1440"/>
          </w:tcPr>
          <w:p>
            <w:r>
              <w:t>否决项</w:t>
            </w:r>
          </w:p>
        </w:tc>
        <w:tc>
          <w:tcPr>
            <w:tcW w:type="dxa" w:w="1440"/>
          </w:tcPr>
          <w:p>
            <w:r>
              <w:t>✗ 不合规</w:t>
            </w:r>
          </w:p>
        </w:tc>
        <w:tc>
          <w:tcPr>
            <w:tcW w:type="dxa" w:w="1440"/>
          </w:tcPr>
          <w:p>
            <w:r>
              <w:t>1</w:t>
            </w:r>
          </w:p>
        </w:tc>
        <w:tc>
          <w:tcPr>
            <w:tcW w:type="dxa" w:w="1440"/>
          </w:tcPr>
          <w:p>
            <w:r>
              <w:t>结构化规则命中：信用与禁止投标情形</w:t>
            </w:r>
          </w:p>
        </w:tc>
      </w:tr>
      <w:tr>
        <w:tc>
          <w:tcPr>
            <w:tcW w:type="dxa" w:w="1440"/>
          </w:tcPr>
          <w:p>
            <w:r>
              <w:t>营业执照与经营范围</w:t>
            </w:r>
          </w:p>
        </w:tc>
        <w:tc>
          <w:tcPr>
            <w:tcW w:type="dxa" w:w="1440"/>
          </w:tcPr>
          <w:p>
            <w:r>
              <w:t>资格性</w:t>
            </w:r>
          </w:p>
        </w:tc>
        <w:tc>
          <w:tcPr>
            <w:tcW w:type="dxa" w:w="1440"/>
          </w:tcPr>
          <w:p>
            <w:r>
              <w:t>否决项</w:t>
            </w:r>
          </w:p>
        </w:tc>
        <w:tc>
          <w:tcPr>
            <w:tcW w:type="dxa" w:w="1440"/>
          </w:tcPr>
          <w:p>
            <w:r>
              <w:t>? 待确认</w:t>
            </w:r>
          </w:p>
        </w:tc>
        <w:tc>
          <w:tcPr>
            <w:tcW w:type="dxa" w:w="1440"/>
          </w:tcPr>
          <w:p>
            <w:r>
              <w:t>1</w:t>
            </w:r>
          </w:p>
        </w:tc>
        <w:tc>
          <w:tcPr>
            <w:tcW w:type="dxa" w:w="1440"/>
          </w:tcPr>
          <w:p>
            <w:r/>
          </w:p>
        </w:tc>
      </w:tr>
      <w:tr>
        <w:tc>
          <w:tcPr>
            <w:tcW w:type="dxa" w:w="1440"/>
          </w:tcPr>
          <w:p>
            <w:r>
              <w:t>业绩与案例证明</w:t>
            </w:r>
          </w:p>
        </w:tc>
        <w:tc>
          <w:tcPr>
            <w:tcW w:type="dxa" w:w="1440"/>
          </w:tcPr>
          <w:p>
            <w:r>
              <w:t>资格性</w:t>
            </w:r>
          </w:p>
        </w:tc>
        <w:tc>
          <w:tcPr>
            <w:tcW w:type="dxa" w:w="1440"/>
          </w:tcPr>
          <w:p>
            <w:r>
              <w:t>重要</w:t>
            </w:r>
          </w:p>
        </w:tc>
        <w:tc>
          <w:tcPr>
            <w:tcW w:type="dxa" w:w="1440"/>
          </w:tcPr>
          <w:p>
            <w:r>
              <w:t>? 待确认</w:t>
            </w:r>
          </w:p>
        </w:tc>
        <w:tc>
          <w:tcPr>
            <w:tcW w:type="dxa" w:w="1440"/>
          </w:tcPr>
          <w:p>
            <w:r>
              <w:t>1</w:t>
            </w:r>
          </w:p>
        </w:tc>
        <w:tc>
          <w:tcPr>
            <w:tcW w:type="dxa" w:w="1440"/>
          </w:tcPr>
          <w:p>
            <w:r/>
          </w:p>
        </w:tc>
      </w:tr>
      <w:tr>
        <w:tc>
          <w:tcPr>
            <w:tcW w:type="dxa" w:w="1440"/>
          </w:tcPr>
          <w:p>
            <w:r>
              <w:t>项目人员配置与资格</w:t>
            </w:r>
          </w:p>
        </w:tc>
        <w:tc>
          <w:tcPr>
            <w:tcW w:type="dxa" w:w="1440"/>
          </w:tcPr>
          <w:p>
            <w:r>
              <w:t>资格性</w:t>
            </w:r>
          </w:p>
        </w:tc>
        <w:tc>
          <w:tcPr>
            <w:tcW w:type="dxa" w:w="1440"/>
          </w:tcPr>
          <w:p>
            <w:r>
              <w:t>重要</w:t>
            </w:r>
          </w:p>
        </w:tc>
        <w:tc>
          <w:tcPr>
            <w:tcW w:type="dxa" w:w="1440"/>
          </w:tcPr>
          <w:p>
            <w:r>
              <w:t>? 待确认</w:t>
            </w:r>
          </w:p>
        </w:tc>
        <w:tc>
          <w:tcPr>
            <w:tcW w:type="dxa" w:w="1440"/>
          </w:tcPr>
          <w:p>
            <w:r>
              <w:t>1</w:t>
            </w:r>
          </w:p>
        </w:tc>
        <w:tc>
          <w:tcPr>
            <w:tcW w:type="dxa" w:w="1440"/>
          </w:tcPr>
          <w:p>
            <w:r/>
          </w:p>
        </w:tc>
      </w:tr>
      <w:tr>
        <w:tc>
          <w:tcPr>
            <w:tcW w:type="dxa" w:w="1440"/>
          </w:tcPr>
          <w:p>
            <w:r>
              <w:t>实施方案与服务承诺</w:t>
            </w:r>
          </w:p>
        </w:tc>
        <w:tc>
          <w:tcPr>
            <w:tcW w:type="dxa" w:w="1440"/>
          </w:tcPr>
          <w:p>
            <w:r>
              <w:t>技术</w:t>
            </w:r>
          </w:p>
        </w:tc>
        <w:tc>
          <w:tcPr>
            <w:tcW w:type="dxa" w:w="1440"/>
          </w:tcPr>
          <w:p>
            <w:r>
              <w:t>重要</w:t>
            </w:r>
          </w:p>
        </w:tc>
        <w:tc>
          <w:tcPr>
            <w:tcW w:type="dxa" w:w="1440"/>
          </w:tcPr>
          <w:p>
            <w:r>
              <w:t>? 待确认</w:t>
            </w:r>
          </w:p>
        </w:tc>
        <w:tc>
          <w:tcPr>
            <w:tcW w:type="dxa" w:w="1440"/>
          </w:tcPr>
          <w:p>
            <w:r>
              <w:t>1</w:t>
            </w:r>
          </w:p>
        </w:tc>
        <w:tc>
          <w:tcPr>
            <w:tcW w:type="dxa" w:w="1440"/>
          </w:tcPr>
          <w:p>
            <w:r/>
          </w:p>
        </w:tc>
      </w:tr>
      <w:tr>
        <w:tc>
          <w:tcPr>
            <w:tcW w:type="dxa" w:w="1440"/>
          </w:tcPr>
          <w:p>
            <w:r>
              <w:t>技术参数响应与偏离</w:t>
            </w:r>
          </w:p>
        </w:tc>
        <w:tc>
          <w:tcPr>
            <w:tcW w:type="dxa" w:w="1440"/>
          </w:tcPr>
          <w:p>
            <w:r>
              <w:t>技术</w:t>
            </w:r>
          </w:p>
        </w:tc>
        <w:tc>
          <w:tcPr>
            <w:tcW w:type="dxa" w:w="1440"/>
          </w:tcPr>
          <w:p>
            <w:r>
              <w:t>否决项</w:t>
            </w:r>
          </w:p>
        </w:tc>
        <w:tc>
          <w:tcPr>
            <w:tcW w:type="dxa" w:w="1440"/>
          </w:tcPr>
          <w:p>
            <w:r>
              <w:t>? 待确认</w:t>
            </w:r>
          </w:p>
        </w:tc>
        <w:tc>
          <w:tcPr>
            <w:tcW w:type="dxa" w:w="1440"/>
          </w:tcPr>
          <w:p>
            <w:r>
              <w:t>1</w:t>
            </w:r>
          </w:p>
        </w:tc>
        <w:tc>
          <w:tcPr>
            <w:tcW w:type="dxa" w:w="1440"/>
          </w:tcPr>
          <w:p>
            <w:r/>
          </w:p>
        </w:tc>
      </w:tr>
    </w:tbl>
    <w:p/>
    <w:p>
      <w:pPr>
        <w:pStyle w:val="Heading1"/>
      </w:pPr>
      <w:r>
        <w:t>四、一致性问题</w:t>
      </w:r>
    </w:p>
    <w:p>
      <w:r>
        <w:rPr>
          <w:b/>
        </w:rPr>
        <w:t xml:space="preserve">1. </w:t>
      </w:r>
      <w:r>
        <w:t>项目编号：招标文件封面与第一章招标公告中的项目编号不一致，可能导致投标人混淆或投错标段。</w:t>
      </w:r>
    </w:p>
    <w:p>
      <w:r>
        <w:rPr>
          <w:b/>
        </w:rPr>
        <w:t xml:space="preserve">2. </w:t>
      </w:r>
      <w:r>
        <w:t>项目名称：封面及第一章标题使用的项目名称与第一章项目概况中的项目名称不一致，可能引起投标文件编制时项目名称引用错误。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