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6215C"/>
          <w:sz w:val="40"/>
          <w:szCs w:val="40"/>
        </w:rPr>
        <w:t xml:space="preserve">Arquitectura del sistema omnicanal de gestión de pedidos</w:t>
      </w:r>
    </w:p>
    <w:p>
      <w:pPr>
        <w:spacing w:after="3000"/>
        <w:jc w:val="center"/>
      </w:pPr>
      <w:r>
        <w:rPr>
          <w:color w:val="5F5E5A"/>
          <w:sz w:val="24"/>
          <w:szCs w:val="24"/>
        </w:rPr>
        <w:t xml:space="preserve">Documento consolidado de diseño técnico</w:t>
      </w:r>
    </w:p>
    <w:p>
      <w:pPr>
        <w:jc w:val="center"/>
      </w:pPr>
      <w:r>
        <w:rPr>
          <w:i/>
          <w:iCs/>
          <w:color w:val="888780"/>
          <w:sz w:val="20"/>
          <w:szCs w:val="20"/>
        </w:rPr>
        <w:t xml:space="preserve">Incluye: arquitectura general, máquina de estados, flujos detallados, GNC API, Integration Monitor, event bus nativo y modelo de datos (GNC DB).</w:t>
      </w:r>
    </w:p>
    <w:p>
      <w:r>
        <w:br w:type="page"/>
      </w:r>
    </w:p>
    <w:p>
      <w:pPr>
        <w:pStyle w:val="Heading1"/>
        <w:spacing w:after="200" w:before="400"/>
      </w:pPr>
      <w:r>
        <w:t xml:space="preserve">Índice</w:t>
      </w:r>
    </w:p>
    <w:p>
      <w:pPr>
        <w:spacing w:after="110"/>
      </w:pPr>
      <w:r>
        <w:rPr>
          <w:sz w:val="21"/>
          <w:szCs w:val="21"/>
        </w:rPr>
        <w:t xml:space="preserve">1. Resumen ejecutivo</w:t>
      </w:r>
    </w:p>
    <w:p>
      <w:pPr>
        <w:spacing w:after="110"/>
      </w:pPr>
      <w:r>
        <w:rPr>
          <w:sz w:val="21"/>
          <w:szCs w:val="21"/>
        </w:rPr>
        <w:t xml:space="preserve">2. Arquitectura general</w:t>
      </w:r>
    </w:p>
    <w:p>
      <w:pPr>
        <w:spacing w:after="110"/>
      </w:pPr>
      <w:r>
        <w:rPr>
          <w:sz w:val="21"/>
          <w:szCs w:val="21"/>
        </w:rPr>
        <w:t xml:space="preserve">3. Máquina de estados</w:t>
      </w:r>
    </w:p>
    <w:p>
      <w:pPr>
        <w:spacing w:after="110"/>
      </w:pPr>
      <w:r>
        <w:rPr>
          <w:sz w:val="21"/>
          <w:szCs w:val="21"/>
        </w:rPr>
        <w:t xml:space="preserve">4. Flujos detallados</w:t>
      </w:r>
    </w:p>
    <w:p>
      <w:pPr>
        <w:spacing w:after="110"/>
      </w:pPr>
      <w:r>
        <w:rPr>
          <w:sz w:val="21"/>
          <w:szCs w:val="21"/>
        </w:rPr>
        <w:t xml:space="preserve">5. GNC API</w:t>
      </w:r>
    </w:p>
    <w:p>
      <w:pPr>
        <w:spacing w:after="110"/>
      </w:pPr>
      <w:r>
        <w:rPr>
          <w:sz w:val="21"/>
          <w:szCs w:val="21"/>
        </w:rPr>
        <w:t xml:space="preserve">6. Integration Monitor</w:t>
      </w:r>
    </w:p>
    <w:p>
      <w:pPr>
        <w:spacing w:after="110"/>
      </w:pPr>
      <w:r>
        <w:rPr>
          <w:sz w:val="21"/>
          <w:szCs w:val="21"/>
        </w:rPr>
        <w:t xml:space="preserve">7. Event bus nativo (sin broker externo)</w:t>
      </w:r>
    </w:p>
    <w:p>
      <w:pPr>
        <w:spacing w:after="110"/>
      </w:pPr>
      <w:r>
        <w:rPr>
          <w:sz w:val="21"/>
          <w:szCs w:val="21"/>
        </w:rPr>
        <w:t xml:space="preserve">8. Componentes nuevos / candidatos a microservicio</w:t>
      </w:r>
    </w:p>
    <w:p>
      <w:pPr>
        <w:spacing w:after="110"/>
      </w:pPr>
      <w:r>
        <w:rPr>
          <w:sz w:val="21"/>
          <w:szCs w:val="21"/>
        </w:rPr>
        <w:t xml:space="preserve">9. Modelo de datos — GNC DB</w:t>
      </w:r>
    </w:p>
    <w:p>
      <w:pPr>
        <w:spacing w:after="110"/>
      </w:pPr>
      <w:r>
        <w:rPr>
          <w:sz w:val="21"/>
          <w:szCs w:val="21"/>
        </w:rPr>
        <w:t xml:space="preserve">10. Decisiones confirmadas durante el diseño</w:t>
      </w:r>
    </w:p>
    <w:p>
      <w:pPr>
        <w:spacing w:after="110"/>
      </w:pPr>
      <w:r>
        <w:rPr>
          <w:sz w:val="21"/>
          <w:szCs w:val="21"/>
        </w:rPr>
        <w:t xml:space="preserve">11. Puntos pendientes de confirmar con el equipo</w:t>
      </w:r>
    </w:p>
    <w:p>
      <w:pPr>
        <w:spacing w:after="110"/>
      </w:pPr>
      <w:r>
        <w:rPr>
          <w:sz w:val="21"/>
          <w:szCs w:val="21"/>
        </w:rPr>
        <w:t xml:space="preserve">12. Próximos pasos sugeridos</w:t>
      </w:r>
    </w:p>
    <w:p>
      <w:r>
        <w:br w:type="page"/>
      </w:r>
    </w:p>
    <w:p>
      <w:pPr>
        <w:pStyle w:val="Heading1"/>
        <w:spacing w:after="200" w:before="400"/>
      </w:pPr>
      <w:r>
        <w:t xml:space="preserve">1. Resumen ejecutivo</w:t>
      </w:r>
    </w:p>
    <w:p>
      <w:pPr>
        <w:spacing w:after="160"/>
      </w:pPr>
      <w:r>
        <w:t xml:space="preserve">Este documento consolida el diseño de la arquitectura para el sistema omnicanal de gestión de pedidos, trabajado bajo un enfoque orientado a estatus (status-driven). Integra el flujo operativo original documentado en la conversación “Diseño de sistema gestión de pedidos” con las decisiones de modernización, corrección y ampliación definidas posteriormente.</w:t>
      </w:r>
    </w:p>
    <w:p>
      <w:pPr>
        <w:spacing w:after="160"/>
      </w:pPr>
      <w:r>
        <w:t xml:space="preserve">El diseño respeta una restricción central del proyecto: los sistemas legado (iRoute, Pipeline SA, Aptos, Gestión Órdenes, POS, Pipeline Merch) no se modifican en su funcionamiento actual. La modernización se agrega como una capa adicional, construida enteramente sobre SQL Server y .NET — sin introducir ningún broker de mensajería externo (RabbitMQ, Kafka, etc.), por restricción explícita del proyecto.</w:t>
      </w:r>
    </w:p>
    <w:p>
      <w:pPr>
        <w:spacing w:after="160"/>
      </w:pPr>
      <w:r>
        <w:t xml:space="preserve">Los cambios más relevantes respecto al flujo documentado originalmente son:</w:t>
      </w:r>
    </w:p>
    <w:p>
      <w:pPr>
        <w:pStyle w:val="ListParagraph"/>
        <w:numPr>
          <w:ilvl w:val="0"/>
          <w:numId w:val="2"/>
        </w:numPr>
        <w:spacing w:after="80"/>
      </w:pPr>
      <w:r>
        <w:t xml:space="preserve">Se separó el estatus “Asignado” (tienda pendiente de confirmar) del nuevo estatus “Aceptado” (tienda confirmó), para que la reserva de inventario no ocurra antes de tiempo.</w:t>
      </w:r>
    </w:p>
    <w:p>
      <w:pPr>
        <w:pStyle w:val="ListParagraph"/>
        <w:numPr>
          <w:ilvl w:val="0"/>
          <w:numId w:val="2"/>
        </w:numPr>
        <w:spacing w:after="80"/>
      </w:pPr>
      <w:r>
        <w:t xml:space="preserve">Se formalizó “En tránsito” como estatus explícito de la máquina de estados, alimentado por webhook o por consulta periódica (polling) según el carrier.</w:t>
      </w:r>
    </w:p>
    <w:p>
      <w:pPr>
        <w:pStyle w:val="ListParagraph"/>
        <w:numPr>
          <w:ilvl w:val="0"/>
          <w:numId w:val="2"/>
        </w:numPr>
        <w:spacing w:after="80"/>
      </w:pPr>
      <w:r>
        <w:t xml:space="preserve">Se definió la GNC API — construida desde cero — como el único punto de escritura y lectura de GNC DB, con un patrón de outbox transaccional.</w:t>
      </w:r>
    </w:p>
    <w:p>
      <w:pPr>
        <w:pStyle w:val="ListParagraph"/>
        <w:numPr>
          <w:ilvl w:val="0"/>
          <w:numId w:val="2"/>
        </w:numPr>
        <w:spacing w:after="80"/>
      </w:pPr>
      <w:r>
        <w:t xml:space="preserve">Se reemplazó el event bus basado en RabbitMQ + MassTransit por un mecanismo nativo de polling con checkpoints sobre SQL Server, sin infraestructura de mensajería externa.</w:t>
      </w:r>
    </w:p>
    <w:p>
      <w:pPr>
        <w:pStyle w:val="ListParagraph"/>
        <w:numPr>
          <w:ilvl w:val="0"/>
          <w:numId w:val="2"/>
        </w:numPr>
        <w:spacing w:after="80"/>
      </w:pPr>
      <w:r>
        <w:t xml:space="preserve">Se diseñó el Integration Monitor como componente concreto: 5 revisiones periódicas, control de duplicados, pantalla de consulta y notificación activa por correo.</w:t>
      </w:r>
    </w:p>
    <w:p>
      <w:pPr>
        <w:pStyle w:val="ListParagraph"/>
        <w:numPr>
          <w:ilvl w:val="0"/>
          <w:numId w:val="2"/>
        </w:numPr>
        <w:spacing w:after="80"/>
      </w:pPr>
      <w:r>
        <w:t xml:space="preserve">Se diseñó el modelo de datos completo de GNC DB (DB Orders).</w:t>
      </w:r>
    </w:p>
    <w:p>
      <w:pPr>
        <w:pStyle w:val="Heading1"/>
        <w:spacing w:after="200" w:before="400"/>
      </w:pPr>
      <w:r>
        <w:t xml:space="preserve">2. Arquitectura general</w:t>
      </w:r>
    </w:p>
    <w:p>
      <w:pPr>
        <w:spacing w:after="160"/>
      </w:pPr>
      <w:r>
        <w:t xml:space="preserve">La arquitectura se organiza en cinco capas: canales de entrada, orquestación de estatus, sistema de registro central (GNC API + GNC DB), distribución de eventos (nativa, sin broker) y consumidores. Los sistemas legado se mantienen sin cambios.</w:t>
      </w:r>
    </w:p>
    <w:p>
      <w:pPr>
        <w:spacing w:after="100" w:before="20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05275"/>
                    </a:xfrm>
                    <a:prstGeom prst="rect">
                      <a:avLst/>
                    </a:prstGeom>
                  </pic:spPr>
                </pic:pic>
              </a:graphicData>
            </a:graphic>
          </wp:inline>
        </w:drawing>
      </w:r>
    </w:p>
    <w:p>
      <w:pPr>
        <w:spacing w:after="240"/>
        <w:jc w:val="center"/>
      </w:pPr>
      <w:r>
        <w:rPr>
          <w:i/>
          <w:iCs/>
          <w:color w:val="5F5E5A"/>
          <w:sz w:val="19"/>
          <w:szCs w:val="19"/>
        </w:rPr>
        <w:t xml:space="preserve">Figura 1. Arquitectura general del sistema. Los consumidores nuevos (verde) consultan GNC DB directamente por polling, sin broker externo.</w:t>
      </w:r>
    </w:p>
    <w:p>
      <w:pPr>
        <w:spacing w:after="160"/>
      </w:pPr>
      <w:r>
        <w:t xml:space="preserve">Puntos que vale la pena resaltar sobre este diagrama:</w:t>
      </w:r>
    </w:p>
    <w:p>
      <w:pPr>
        <w:pStyle w:val="ListParagraph"/>
        <w:numPr>
          <w:ilvl w:val="0"/>
          <w:numId w:val="2"/>
        </w:numPr>
        <w:spacing w:after="80"/>
      </w:pPr>
      <w:r>
        <w:t xml:space="preserve">POS aparece con borde punteado porque su integración para devoluciones todavía está pendiente de investigar (ver sección 11).</w:t>
      </w:r>
    </w:p>
    <w:p>
      <w:pPr>
        <w:pStyle w:val="ListParagraph"/>
        <w:numPr>
          <w:ilvl w:val="0"/>
          <w:numId w:val="2"/>
        </w:numPr>
        <w:spacing w:after="80"/>
      </w:pPr>
      <w:r>
        <w:t xml:space="preserve">iRoute tiene dos flechas hacia la GNC API: la de asignación de tienda (siempre existió) y una nueva de sincronización pull (línea punteada), que depende de que el equipo de iRoute confirme que puede programarla.</w:t>
      </w:r>
    </w:p>
    <w:p>
      <w:pPr>
        <w:pStyle w:val="ListParagraph"/>
        <w:numPr>
          <w:ilvl w:val="0"/>
          <w:numId w:val="2"/>
        </w:numPr>
        <w:spacing w:after="80"/>
      </w:pPr>
      <w:r>
        <w:t xml:space="preserve">Pipeline SA y Aptos no cambian en absoluto — siguen recibiendo XML exactamente igual, generado por el Outbox Publisher.</w:t>
      </w:r>
    </w:p>
    <w:p>
      <w:pPr>
        <w:pStyle w:val="ListParagraph"/>
        <w:numPr>
          <w:ilvl w:val="0"/>
          <w:numId w:val="2"/>
        </w:numPr>
        <w:spacing w:after="80"/>
      </w:pPr>
      <w:r>
        <w:t xml:space="preserve">Los consumidores nuevos (Notification, Pipeline Merch, USICOAL Central, iRoute Sync) ya no reciben eventos de un bus — consultan outbox_events directamente, cada uno con su propio checkpoint (ver sección 7).</w:t>
      </w:r>
    </w:p>
    <w:p>
      <w:pPr>
        <w:pStyle w:val="Heading2"/>
        <w:spacing w:after="150" w:before="300"/>
      </w:pPr>
      <w:r>
        <w:t xml:space="preserve">2.1 Mapeo de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400"/>
      </w:tblGrid>
      <w:tr>
        <w:trPr>
          <w:cantSplit/>
          <w:tblHeader/>
        </w:trPr>
        <w:tc>
          <w:tcPr>
            <w:tcW w:type="dxa" w:w="2100"/>
            <w:shd w:fill="534AB7" w:val="clear"/>
            <w:tcMar>
              <w:top w:type="dxa" w:w="80"/>
              <w:left w:type="dxa" w:w="100"/>
              <w:bottom w:type="dxa" w:w="80"/>
              <w:right w:type="dxa" w:w="100"/>
            </w:tcMar>
          </w:tcPr>
          <w:p>
            <w:r>
              <w:rPr>
                <w:b/>
                <w:bCs/>
                <w:color w:val="FFFFFF"/>
                <w:sz w:val="19"/>
                <w:szCs w:val="19"/>
              </w:rPr>
              <w:t xml:space="preserve">Capa</w:t>
            </w:r>
          </w:p>
        </w:tc>
        <w:tc>
          <w:tcPr>
            <w:tcW w:type="dxa" w:w="4860"/>
            <w:shd w:fill="534AB7" w:val="clear"/>
            <w:tcMar>
              <w:top w:type="dxa" w:w="80"/>
              <w:left w:type="dxa" w:w="100"/>
              <w:bottom w:type="dxa" w:w="80"/>
              <w:right w:type="dxa" w:w="100"/>
            </w:tcMar>
          </w:tcPr>
          <w:p>
            <w:r>
              <w:rPr>
                <w:b/>
                <w:bCs/>
                <w:color w:val="FFFFFF"/>
                <w:sz w:val="19"/>
                <w:szCs w:val="19"/>
              </w:rPr>
              <w:t xml:space="preserve">Componente(s)</w:t>
            </w:r>
          </w:p>
        </w:tc>
        <w:tc>
          <w:tcPr>
            <w:tcW w:type="dxa" w:w="2400"/>
            <w:shd w:fill="534AB7" w:val="clear"/>
            <w:tcMar>
              <w:top w:type="dxa" w:w="80"/>
              <w:left w:type="dxa" w:w="100"/>
              <w:bottom w:type="dxa" w:w="80"/>
              <w:right w:type="dxa" w:w="100"/>
            </w:tcMar>
          </w:tcPr>
          <w:p>
            <w:r>
              <w:rPr>
                <w:b/>
                <w:bCs/>
                <w:color w:val="FFFFFF"/>
                <w:sz w:val="19"/>
                <w:szCs w:val="19"/>
              </w:rPr>
              <w:t xml:space="preserve">Estado</w:t>
            </w:r>
          </w:p>
        </w:tc>
      </w:tr>
      <w:tr>
        <w:trPr>
          <w:cantSplit/>
        </w:trPr>
        <w:tc>
          <w:tcPr>
            <w:tcW w:type="dxa" w:w="2100"/>
            <w:shd w:fill="F1EFE8" w:val="clear"/>
            <w:tcMar>
              <w:top w:type="dxa" w:w="80"/>
              <w:left w:type="dxa" w:w="100"/>
              <w:bottom w:type="dxa" w:w="80"/>
              <w:right w:type="dxa" w:w="100"/>
            </w:tcMar>
          </w:tcPr>
          <w:p>
            <w:r>
              <w:rPr>
                <w:b w:val="false"/>
                <w:bCs w:val="false"/>
                <w:color w:val="1A1A1A"/>
                <w:sz w:val="19"/>
                <w:szCs w:val="19"/>
              </w:rPr>
              <w:t xml:space="preserve">Canales</w:t>
            </w:r>
          </w:p>
        </w:tc>
        <w:tc>
          <w:tcPr>
            <w:tcW w:type="dxa" w:w="4860"/>
            <w:shd w:fill="F1EFE8" w:val="clear"/>
            <w:tcMar>
              <w:top w:type="dxa" w:w="80"/>
              <w:left w:type="dxa" w:w="100"/>
              <w:bottom w:type="dxa" w:w="80"/>
              <w:right w:type="dxa" w:w="100"/>
            </w:tcMar>
          </w:tcPr>
          <w:p>
            <w:r>
              <w:rPr>
                <w:b w:val="false"/>
                <w:bCs w:val="false"/>
                <w:color w:val="1A1A1A"/>
                <w:sz w:val="19"/>
                <w:szCs w:val="19"/>
              </w:rPr>
              <w:t xml:space="preserve">Magento, Fuse Click&amp;Collect</w:t>
            </w:r>
          </w:p>
        </w:tc>
        <w:tc>
          <w:tcPr>
            <w:tcW w:type="dxa" w:w="2400"/>
            <w:shd w:fill="F1EFE8" w:val="clear"/>
            <w:tcMar>
              <w:top w:type="dxa" w:w="80"/>
              <w:left w:type="dxa" w:w="100"/>
              <w:bottom w:type="dxa" w:w="80"/>
              <w:right w:type="dxa" w:w="100"/>
            </w:tcMar>
          </w:tcPr>
          <w:p>
            <w:r>
              <w:rPr>
                <w:b w:val="false"/>
                <w:bCs w:val="false"/>
                <w:color w:val="1A1A1A"/>
                <w:sz w:val="19"/>
                <w:szCs w:val="19"/>
              </w:rPr>
              <w:t xml:space="preserve">Legado, sin cambios</w:t>
            </w:r>
          </w:p>
        </w:tc>
      </w:tr>
      <w:tr>
        <w:trPr>
          <w:cantSplit/>
        </w:trPr>
        <w:tc>
          <w:tcPr>
            <w:tcW w:type="dxa" w:w="2100"/>
            <w:shd w:fill="FFFFFF" w:val="clear"/>
            <w:tcMar>
              <w:top w:type="dxa" w:w="80"/>
              <w:left w:type="dxa" w:w="100"/>
              <w:bottom w:type="dxa" w:w="80"/>
              <w:right w:type="dxa" w:w="100"/>
            </w:tcMar>
          </w:tcPr>
          <w:p>
            <w:r>
              <w:rPr>
                <w:b w:val="false"/>
                <w:bCs w:val="false"/>
                <w:color w:val="1A1A1A"/>
                <w:sz w:val="19"/>
                <w:szCs w:val="19"/>
              </w:rPr>
              <w:t xml:space="preserve">Orquestación</w:t>
            </w:r>
          </w:p>
        </w:tc>
        <w:tc>
          <w:tcPr>
            <w:tcW w:type="dxa" w:w="4860"/>
            <w:shd w:fill="FFFFFF" w:val="clear"/>
            <w:tcMar>
              <w:top w:type="dxa" w:w="80"/>
              <w:left w:type="dxa" w:w="100"/>
              <w:bottom w:type="dxa" w:w="80"/>
              <w:right w:type="dxa" w:w="100"/>
            </w:tcMar>
          </w:tcPr>
          <w:p>
            <w:r>
              <w:rPr>
                <w:b w:val="false"/>
                <w:bCs w:val="false"/>
                <w:color w:val="1A1A1A"/>
                <w:sz w:val="19"/>
                <w:szCs w:val="19"/>
              </w:rPr>
              <w:t xml:space="preserve">iRoute</w:t>
            </w:r>
          </w:p>
        </w:tc>
        <w:tc>
          <w:tcPr>
            <w:tcW w:type="dxa" w:w="2400"/>
            <w:shd w:fill="FFFFFF" w:val="clear"/>
            <w:tcMar>
              <w:top w:type="dxa" w:w="80"/>
              <w:left w:type="dxa" w:w="100"/>
              <w:bottom w:type="dxa" w:w="80"/>
              <w:right w:type="dxa" w:w="100"/>
            </w:tcMar>
          </w:tcPr>
          <w:p>
            <w:r>
              <w:rPr>
                <w:b w:val="false"/>
                <w:bCs w:val="false"/>
                <w:color w:val="1A1A1A"/>
                <w:sz w:val="19"/>
                <w:szCs w:val="19"/>
              </w:rPr>
              <w:t xml:space="preserve">Legado, sin cambios</w:t>
            </w:r>
          </w:p>
        </w:tc>
      </w:tr>
      <w:tr>
        <w:trPr>
          <w:cantSplit/>
        </w:trPr>
        <w:tc>
          <w:tcPr>
            <w:tcW w:type="dxa" w:w="2100"/>
            <w:shd w:fill="F1EFE8" w:val="clear"/>
            <w:tcMar>
              <w:top w:type="dxa" w:w="80"/>
              <w:left w:type="dxa" w:w="100"/>
              <w:bottom w:type="dxa" w:w="80"/>
              <w:right w:type="dxa" w:w="100"/>
            </w:tcMar>
          </w:tcPr>
          <w:p>
            <w:r>
              <w:rPr>
                <w:b w:val="false"/>
                <w:bCs w:val="false"/>
                <w:color w:val="1A1A1A"/>
                <w:sz w:val="19"/>
                <w:szCs w:val="19"/>
              </w:rPr>
              <w:t xml:space="preserve">Sistema de registro</w:t>
            </w:r>
          </w:p>
        </w:tc>
        <w:tc>
          <w:tcPr>
            <w:tcW w:type="dxa" w:w="4860"/>
            <w:shd w:fill="F1EFE8" w:val="clear"/>
            <w:tcMar>
              <w:top w:type="dxa" w:w="80"/>
              <w:left w:type="dxa" w:w="100"/>
              <w:bottom w:type="dxa" w:w="80"/>
              <w:right w:type="dxa" w:w="100"/>
            </w:tcMar>
          </w:tcPr>
          <w:p>
            <w:r>
              <w:rPr>
                <w:b w:val="false"/>
                <w:bCs w:val="false"/>
                <w:color w:val="1A1A1A"/>
                <w:sz w:val="19"/>
                <w:szCs w:val="19"/>
              </w:rPr>
              <w:t xml:space="preserve">GNC DB (datos) + GNC API (acceso)</w:t>
            </w:r>
          </w:p>
        </w:tc>
        <w:tc>
          <w:tcPr>
            <w:tcW w:type="dxa" w:w="2400"/>
            <w:shd w:fill="F1EFE8" w:val="clear"/>
            <w:tcMar>
              <w:top w:type="dxa" w:w="80"/>
              <w:left w:type="dxa" w:w="100"/>
              <w:bottom w:type="dxa" w:w="80"/>
              <w:right w:type="dxa" w:w="100"/>
            </w:tcMar>
          </w:tcPr>
          <w:p>
            <w:r>
              <w:rPr>
                <w:b w:val="false"/>
                <w:bCs w:val="false"/>
                <w:color w:val="1A1A1A"/>
                <w:sz w:val="19"/>
                <w:szCs w:val="19"/>
              </w:rPr>
              <w:t xml:space="preserve">GNC DB legado; GNC API nueva, construida desde cero</w:t>
            </w:r>
          </w:p>
        </w:tc>
      </w:tr>
      <w:tr>
        <w:trPr>
          <w:cantSplit/>
        </w:trPr>
        <w:tc>
          <w:tcPr>
            <w:tcW w:type="dxa" w:w="2100"/>
            <w:shd w:fill="FFFFFF" w:val="clear"/>
            <w:tcMar>
              <w:top w:type="dxa" w:w="80"/>
              <w:left w:type="dxa" w:w="100"/>
              <w:bottom w:type="dxa" w:w="80"/>
              <w:right w:type="dxa" w:w="100"/>
            </w:tcMar>
          </w:tcPr>
          <w:p>
            <w:r>
              <w:rPr>
                <w:b w:val="false"/>
                <w:bCs w:val="false"/>
                <w:color w:val="1A1A1A"/>
                <w:sz w:val="19"/>
                <w:szCs w:val="19"/>
              </w:rPr>
              <w:t xml:space="preserve">Distribución (legado)</w:t>
            </w:r>
          </w:p>
        </w:tc>
        <w:tc>
          <w:tcPr>
            <w:tcW w:type="dxa" w:w="4860"/>
            <w:shd w:fill="FFFFFF" w:val="clear"/>
            <w:tcMar>
              <w:top w:type="dxa" w:w="80"/>
              <w:left w:type="dxa" w:w="100"/>
              <w:bottom w:type="dxa" w:w="80"/>
              <w:right w:type="dxa" w:w="100"/>
            </w:tcMar>
          </w:tcPr>
          <w:p>
            <w:r>
              <w:rPr>
                <w:b w:val="false"/>
                <w:bCs w:val="false"/>
                <w:color w:val="1A1A1A"/>
                <w:sz w:val="19"/>
                <w:szCs w:val="19"/>
              </w:rPr>
              <w:t xml:space="preserve">Pipeline SA (XML por carpeta)</w:t>
            </w:r>
          </w:p>
        </w:tc>
        <w:tc>
          <w:tcPr>
            <w:tcW w:type="dxa" w:w="2400"/>
            <w:shd w:fill="FFFFFF" w:val="clear"/>
            <w:tcMar>
              <w:top w:type="dxa" w:w="80"/>
              <w:left w:type="dxa" w:w="100"/>
              <w:bottom w:type="dxa" w:w="80"/>
              <w:right w:type="dxa" w:w="100"/>
            </w:tcMar>
          </w:tcPr>
          <w:p>
            <w:r>
              <w:rPr>
                <w:b w:val="false"/>
                <w:bCs w:val="false"/>
                <w:color w:val="1A1A1A"/>
                <w:sz w:val="19"/>
                <w:szCs w:val="19"/>
              </w:rPr>
              <w:t xml:space="preserve">Legado, sin cambios — requerido por Aptos</w:t>
            </w:r>
          </w:p>
        </w:tc>
      </w:tr>
      <w:tr>
        <w:trPr>
          <w:cantSplit/>
        </w:trPr>
        <w:tc>
          <w:tcPr>
            <w:tcW w:type="dxa" w:w="2100"/>
            <w:shd w:fill="F1EFE8" w:val="clear"/>
            <w:tcMar>
              <w:top w:type="dxa" w:w="80"/>
              <w:left w:type="dxa" w:w="100"/>
              <w:bottom w:type="dxa" w:w="80"/>
              <w:right w:type="dxa" w:w="100"/>
            </w:tcMar>
          </w:tcPr>
          <w:p>
            <w:r>
              <w:rPr>
                <w:b w:val="false"/>
                <w:bCs w:val="false"/>
                <w:color w:val="1A1A1A"/>
                <w:sz w:val="19"/>
                <w:szCs w:val="19"/>
              </w:rPr>
              <w:t xml:space="preserve">Distribución (nueva)</w:t>
            </w:r>
          </w:p>
        </w:tc>
        <w:tc>
          <w:tcPr>
            <w:tcW w:type="dxa" w:w="4860"/>
            <w:shd w:fill="F1EFE8" w:val="clear"/>
            <w:tcMar>
              <w:top w:type="dxa" w:w="80"/>
              <w:left w:type="dxa" w:w="100"/>
              <w:bottom w:type="dxa" w:w="80"/>
              <w:right w:type="dxa" w:w="100"/>
            </w:tcMar>
          </w:tcPr>
          <w:p>
            <w:r>
              <w:rPr>
                <w:b w:val="false"/>
                <w:bCs w:val="false"/>
                <w:color w:val="1A1A1A"/>
                <w:sz w:val="19"/>
                <w:szCs w:val="19"/>
              </w:rPr>
              <w:t xml:space="preserve">Polling con checkpoints sobre GNC DB</w:t>
            </w:r>
          </w:p>
        </w:tc>
        <w:tc>
          <w:tcPr>
            <w:tcW w:type="dxa" w:w="2400"/>
            <w:shd w:fill="F1EFE8" w:val="clear"/>
            <w:tcMar>
              <w:top w:type="dxa" w:w="80"/>
              <w:left w:type="dxa" w:w="100"/>
              <w:bottom w:type="dxa" w:w="80"/>
              <w:right w:type="dxa" w:w="100"/>
            </w:tcMar>
          </w:tcPr>
          <w:p>
            <w:r>
              <w:rPr>
                <w:b w:val="false"/>
                <w:bCs w:val="false"/>
                <w:color w:val="1A1A1A"/>
                <w:sz w:val="19"/>
                <w:szCs w:val="19"/>
              </w:rPr>
              <w:t xml:space="preserve">Nuevo, sin broker externo</w:t>
            </w:r>
          </w:p>
        </w:tc>
      </w:tr>
      <w:tr>
        <w:trPr>
          <w:cantSplit/>
        </w:trPr>
        <w:tc>
          <w:tcPr>
            <w:tcW w:type="dxa" w:w="2100"/>
            <w:shd w:fill="FFFFFF" w:val="clear"/>
            <w:tcMar>
              <w:top w:type="dxa" w:w="80"/>
              <w:left w:type="dxa" w:w="100"/>
              <w:bottom w:type="dxa" w:w="80"/>
              <w:right w:type="dxa" w:w="100"/>
            </w:tcMar>
          </w:tcPr>
          <w:p>
            <w:r>
              <w:rPr>
                <w:b w:val="false"/>
                <w:bCs w:val="false"/>
                <w:color w:val="1A1A1A"/>
                <w:sz w:val="19"/>
                <w:szCs w:val="19"/>
              </w:rPr>
              <w:t xml:space="preserve">Consumidores legado</w:t>
            </w:r>
          </w:p>
        </w:tc>
        <w:tc>
          <w:tcPr>
            <w:tcW w:type="dxa" w:w="4860"/>
            <w:shd w:fill="FFFFFF" w:val="clear"/>
            <w:tcMar>
              <w:top w:type="dxa" w:w="80"/>
              <w:left w:type="dxa" w:w="100"/>
              <w:bottom w:type="dxa" w:w="80"/>
              <w:right w:type="dxa" w:w="100"/>
            </w:tcMar>
          </w:tcPr>
          <w:p>
            <w:r>
              <w:rPr>
                <w:b w:val="false"/>
                <w:bCs w:val="false"/>
                <w:color w:val="1A1A1A"/>
                <w:sz w:val="19"/>
                <w:szCs w:val="19"/>
              </w:rPr>
              <w:t xml:space="preserve">Gestión Órdenes, POS, Pipeline Merch, Aptos, USICOAL Central</w:t>
            </w:r>
          </w:p>
        </w:tc>
        <w:tc>
          <w:tcPr>
            <w:tcW w:type="dxa" w:w="2400"/>
            <w:shd w:fill="FFFFFF" w:val="clear"/>
            <w:tcMar>
              <w:top w:type="dxa" w:w="80"/>
              <w:left w:type="dxa" w:w="100"/>
              <w:bottom w:type="dxa" w:w="80"/>
              <w:right w:type="dxa" w:w="100"/>
            </w:tcMar>
          </w:tcPr>
          <w:p>
            <w:r>
              <w:rPr>
                <w:b w:val="false"/>
                <w:bCs w:val="false"/>
                <w:color w:val="1A1A1A"/>
                <w:sz w:val="19"/>
                <w:szCs w:val="19"/>
              </w:rPr>
              <w:t xml:space="preserve">Legado, sin cambios</w:t>
            </w:r>
          </w:p>
        </w:tc>
      </w:tr>
      <w:tr>
        <w:trPr>
          <w:cantSplit/>
        </w:trPr>
        <w:tc>
          <w:tcPr>
            <w:tcW w:type="dxa" w:w="2100"/>
            <w:shd w:fill="F1EFE8" w:val="clear"/>
            <w:tcMar>
              <w:top w:type="dxa" w:w="80"/>
              <w:left w:type="dxa" w:w="100"/>
              <w:bottom w:type="dxa" w:w="80"/>
              <w:right w:type="dxa" w:w="100"/>
            </w:tcMar>
          </w:tcPr>
          <w:p>
            <w:r>
              <w:rPr>
                <w:b w:val="false"/>
                <w:bCs w:val="false"/>
                <w:color w:val="1A1A1A"/>
                <w:sz w:val="19"/>
                <w:szCs w:val="19"/>
              </w:rPr>
              <w:t xml:space="preserve">Consumidores nuevos</w:t>
            </w:r>
          </w:p>
        </w:tc>
        <w:tc>
          <w:tcPr>
            <w:tcW w:type="dxa" w:w="4860"/>
            <w:shd w:fill="F1EFE8" w:val="clear"/>
            <w:tcMar>
              <w:top w:type="dxa" w:w="80"/>
              <w:left w:type="dxa" w:w="100"/>
              <w:bottom w:type="dxa" w:w="80"/>
              <w:right w:type="dxa" w:w="100"/>
            </w:tcMar>
          </w:tcPr>
          <w:p>
            <w:r>
              <w:rPr>
                <w:b w:val="false"/>
                <w:bCs w:val="false"/>
                <w:color w:val="1A1A1A"/>
                <w:sz w:val="19"/>
                <w:szCs w:val="19"/>
              </w:rPr>
              <w:t xml:space="preserve">Webhook Receiver, Tracking Poller, workers de polling, Integration Monitor</w:t>
            </w:r>
          </w:p>
        </w:tc>
        <w:tc>
          <w:tcPr>
            <w:tcW w:type="dxa" w:w="2400"/>
            <w:shd w:fill="F1EFE8" w:val="clear"/>
            <w:tcMar>
              <w:top w:type="dxa" w:w="80"/>
              <w:left w:type="dxa" w:w="100"/>
              <w:bottom w:type="dxa" w:w="80"/>
              <w:right w:type="dxa" w:w="100"/>
            </w:tcMar>
          </w:tcPr>
          <w:p>
            <w:r>
              <w:rPr>
                <w:b w:val="false"/>
                <w:bCs w:val="false"/>
                <w:color w:val="1A1A1A"/>
                <w:sz w:val="19"/>
                <w:szCs w:val="19"/>
              </w:rPr>
              <w:t xml:space="preserve">Nuevo</w:t>
            </w:r>
          </w:p>
        </w:tc>
      </w:tr>
    </w:tbl>
    <w:p>
      <w:pPr>
        <w:pStyle w:val="Heading1"/>
        <w:spacing w:after="200" w:before="400"/>
      </w:pPr>
      <w:r>
        <w:t xml:space="preserve">3. Máquina de estados</w:t>
      </w:r>
    </w:p>
    <w:p>
      <w:pPr>
        <w:spacing w:after="160"/>
      </w:pPr>
      <w:r>
        <w:t xml:space="preserve">La máquina de estados queda formalizada de la siguiente manera. Los estatus en morado y ámbar son adiciones respecto al flujo documentado originalmente; el resto ya existía.</w:t>
      </w:r>
    </w:p>
    <w:p>
      <w:pPr>
        <w:spacing w:after="100" w:before="200"/>
        <w:jc w:val="center"/>
      </w:pPr>
      <w:r>
        <w:drawing>
          <wp:inline distT="0" distB="0" distL="0" distR="0">
            <wp:extent cx="409575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514975"/>
                    </a:xfrm>
                    <a:prstGeom prst="rect">
                      <a:avLst/>
                    </a:prstGeom>
                  </pic:spPr>
                </pic:pic>
              </a:graphicData>
            </a:graphic>
          </wp:inline>
        </w:drawing>
      </w:r>
    </w:p>
    <w:p>
      <w:pPr>
        <w:spacing w:after="240"/>
        <w:jc w:val="center"/>
      </w:pPr>
      <w:r>
        <w:rPr>
          <w:i/>
          <w:iCs/>
          <w:color w:val="5F5E5A"/>
          <w:sz w:val="19"/>
          <w:szCs w:val="19"/>
        </w:rPr>
        <w:t xml:space="preserve">Figura 2. Máquina de estados completa del pedido.</w:t>
      </w:r>
    </w:p>
    <w:p>
      <w:pPr>
        <w:pStyle w:val="Heading2"/>
        <w:spacing w:after="150" w:before="300"/>
      </w:pPr>
      <w:r>
        <w:t xml:space="preserve">3.1 Descripción de cada 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shd w:fill="534AB7" w:val="clear"/>
            <w:tcMar>
              <w:top w:type="dxa" w:w="80"/>
              <w:left w:type="dxa" w:w="100"/>
              <w:bottom w:type="dxa" w:w="80"/>
              <w:right w:type="dxa" w:w="100"/>
            </w:tcMar>
          </w:tcPr>
          <w:p>
            <w:r>
              <w:rPr>
                <w:b/>
                <w:bCs/>
                <w:color w:val="FFFFFF"/>
                <w:sz w:val="19"/>
                <w:szCs w:val="19"/>
              </w:rPr>
              <w:t xml:space="preserve">Estatus</w:t>
            </w:r>
          </w:p>
        </w:tc>
        <w:tc>
          <w:tcPr>
            <w:tcW w:type="dxa" w:w="5760"/>
            <w:shd w:fill="534AB7" w:val="clear"/>
            <w:tcMar>
              <w:top w:type="dxa" w:w="80"/>
              <w:left w:type="dxa" w:w="100"/>
              <w:bottom w:type="dxa" w:w="80"/>
              <w:right w:type="dxa" w:w="100"/>
            </w:tcMar>
          </w:tcPr>
          <w:p>
            <w:r>
              <w:rPr>
                <w:b/>
                <w:bCs/>
                <w:color w:val="FFFFFF"/>
                <w:sz w:val="19"/>
                <w:szCs w:val="19"/>
              </w:rPr>
              <w:t xml:space="preserve">Descripción</w:t>
            </w:r>
          </w:p>
        </w:tc>
        <w:tc>
          <w:tcPr>
            <w:tcW w:type="dxa" w:w="1500"/>
            <w:shd w:fill="534AB7" w:val="clear"/>
            <w:tcMar>
              <w:top w:type="dxa" w:w="80"/>
              <w:left w:type="dxa" w:w="100"/>
              <w:bottom w:type="dxa" w:w="80"/>
              <w:right w:type="dxa" w:w="100"/>
            </w:tcMar>
          </w:tcPr>
          <w:p>
            <w:r>
              <w:rPr>
                <w:b/>
                <w:bCs/>
                <w:color w:val="FFFFFF"/>
                <w:sz w:val="19"/>
                <w:szCs w:val="19"/>
              </w:rPr>
              <w:t xml:space="preserve">Origen del cambio</w:t>
            </w:r>
          </w:p>
        </w:tc>
      </w:tr>
      <w:tr>
        <w:trPr>
          <w:cantSplit/>
        </w:trPr>
        <w:tc>
          <w:tcPr>
            <w:tcW w:type="dxa" w:w="2100"/>
            <w:shd w:fill="F1EFE8" w:val="clear"/>
            <w:tcMar>
              <w:top w:type="dxa" w:w="80"/>
              <w:left w:type="dxa" w:w="100"/>
              <w:bottom w:type="dxa" w:w="80"/>
              <w:right w:type="dxa" w:w="100"/>
            </w:tcMar>
          </w:tcPr>
          <w:p>
            <w:r>
              <w:rPr>
                <w:b w:val="false"/>
                <w:bCs w:val="false"/>
                <w:color w:val="1A1A1A"/>
                <w:sz w:val="19"/>
                <w:szCs w:val="19"/>
              </w:rPr>
              <w:t xml:space="preserve">Ordenado</w:t>
            </w:r>
          </w:p>
        </w:tc>
        <w:tc>
          <w:tcPr>
            <w:tcW w:type="dxa" w:w="5760"/>
            <w:shd w:fill="F1EFE8" w:val="clear"/>
            <w:tcMar>
              <w:top w:type="dxa" w:w="80"/>
              <w:left w:type="dxa" w:w="100"/>
              <w:bottom w:type="dxa" w:w="80"/>
              <w:right w:type="dxa" w:w="100"/>
            </w:tcMar>
          </w:tcPr>
          <w:p>
            <w:r>
              <w:rPr>
                <w:b w:val="false"/>
                <w:bCs w:val="false"/>
                <w:color w:val="1A1A1A"/>
                <w:sz w:val="19"/>
                <w:szCs w:val="19"/>
              </w:rPr>
              <w:t xml:space="preserve">Orden creada y sincronizada por primera vez en DB Orders.</w:t>
            </w:r>
          </w:p>
        </w:tc>
        <w:tc>
          <w:tcPr>
            <w:tcW w:type="dxa" w:w="1500"/>
            <w:shd w:fill="F1EFE8" w:val="clear"/>
            <w:tcMar>
              <w:top w:type="dxa" w:w="80"/>
              <w:left w:type="dxa" w:w="100"/>
              <w:bottom w:type="dxa" w:w="80"/>
              <w:right w:type="dxa" w:w="100"/>
            </w:tcMar>
          </w:tcPr>
          <w:p>
            <w:r>
              <w:rPr>
                <w:b w:val="false"/>
                <w:bCs w:val="false"/>
                <w:color w:val="1A1A1A"/>
                <w:sz w:val="19"/>
                <w:szCs w:val="19"/>
              </w:rPr>
              <w:t xml:space="preserve">iRoute</w:t>
            </w:r>
          </w:p>
        </w:tc>
      </w:tr>
      <w:tr>
        <w:trPr>
          <w:cantSplit/>
        </w:trPr>
        <w:tc>
          <w:tcPr>
            <w:tcW w:type="dxa" w:w="2100"/>
            <w:shd w:fill="FFFFFF" w:val="clear"/>
            <w:tcMar>
              <w:top w:type="dxa" w:w="80"/>
              <w:left w:type="dxa" w:w="100"/>
              <w:bottom w:type="dxa" w:w="80"/>
              <w:right w:type="dxa" w:w="100"/>
            </w:tcMar>
          </w:tcPr>
          <w:p>
            <w:r>
              <w:rPr>
                <w:b w:val="false"/>
                <w:bCs w:val="false"/>
                <w:color w:val="1A1A1A"/>
                <w:sz w:val="19"/>
                <w:szCs w:val="19"/>
              </w:rPr>
              <w:t xml:space="preserve">Asignado</w:t>
            </w:r>
          </w:p>
        </w:tc>
        <w:tc>
          <w:tcPr>
            <w:tcW w:type="dxa" w:w="5760"/>
            <w:shd w:fill="FFFFFF" w:val="clear"/>
            <w:tcMar>
              <w:top w:type="dxa" w:w="80"/>
              <w:left w:type="dxa" w:w="100"/>
              <w:bottom w:type="dxa" w:w="80"/>
              <w:right w:type="dxa" w:w="100"/>
            </w:tcMar>
          </w:tcPr>
          <w:p>
            <w:r>
              <w:rPr>
                <w:b w:val="false"/>
                <w:bCs w:val="false"/>
                <w:color w:val="1A1A1A"/>
                <w:sz w:val="19"/>
                <w:szCs w:val="19"/>
              </w:rPr>
              <w:t xml:space="preserve">iRoute asignó tienda de surtido; pendiente de confirmación de la tienda.</w:t>
            </w:r>
          </w:p>
        </w:tc>
        <w:tc>
          <w:tcPr>
            <w:tcW w:type="dxa" w:w="1500"/>
            <w:shd w:fill="FFFFFF" w:val="clear"/>
            <w:tcMar>
              <w:top w:type="dxa" w:w="80"/>
              <w:left w:type="dxa" w:w="100"/>
              <w:bottom w:type="dxa" w:w="80"/>
              <w:right w:type="dxa" w:w="100"/>
            </w:tcMar>
          </w:tcPr>
          <w:p>
            <w:r>
              <w:rPr>
                <w:b w:val="false"/>
                <w:bCs w:val="false"/>
                <w:color w:val="1A1A1A"/>
                <w:sz w:val="19"/>
                <w:szCs w:val="19"/>
              </w:rPr>
              <w:t xml:space="preserve">iRoute</w:t>
            </w:r>
          </w:p>
        </w:tc>
      </w:tr>
      <w:tr>
        <w:trPr>
          <w:cantSplit/>
        </w:trPr>
        <w:tc>
          <w:tcPr>
            <w:tcW w:type="dxa" w:w="2100"/>
            <w:shd w:fill="F1EFE8" w:val="clear"/>
            <w:tcMar>
              <w:top w:type="dxa" w:w="80"/>
              <w:left w:type="dxa" w:w="100"/>
              <w:bottom w:type="dxa" w:w="80"/>
              <w:right w:type="dxa" w:w="100"/>
            </w:tcMar>
          </w:tcPr>
          <w:p>
            <w:r>
              <w:rPr>
                <w:b w:val="false"/>
                <w:bCs w:val="false"/>
                <w:color w:val="1A1A1A"/>
                <w:sz w:val="19"/>
                <w:szCs w:val="19"/>
              </w:rPr>
              <w:t xml:space="preserve">Aceptado (nuevo)</w:t>
            </w:r>
          </w:p>
        </w:tc>
        <w:tc>
          <w:tcPr>
            <w:tcW w:type="dxa" w:w="5760"/>
            <w:shd w:fill="F1EFE8" w:val="clear"/>
            <w:tcMar>
              <w:top w:type="dxa" w:w="80"/>
              <w:left w:type="dxa" w:w="100"/>
              <w:bottom w:type="dxa" w:w="80"/>
              <w:right w:type="dxa" w:w="100"/>
            </w:tcMar>
          </w:tcPr>
          <w:p>
            <w:r>
              <w:rPr>
                <w:b w:val="false"/>
                <w:bCs w:val="false"/>
                <w:color w:val="1A1A1A"/>
                <w:sz w:val="19"/>
                <w:szCs w:val="19"/>
              </w:rPr>
              <w:t xml:space="preserve">La tienda confirmó el pedido en Gestión Órdenes. Dispara la reserva de inventario.</w:t>
            </w:r>
          </w:p>
        </w:tc>
        <w:tc>
          <w:tcPr>
            <w:tcW w:type="dxa" w:w="1500"/>
            <w:shd w:fill="F1EFE8" w:val="clear"/>
            <w:tcMar>
              <w:top w:type="dxa" w:w="80"/>
              <w:left w:type="dxa" w:w="100"/>
              <w:bottom w:type="dxa" w:w="80"/>
              <w:right w:type="dxa" w:w="100"/>
            </w:tcMar>
          </w:tcPr>
          <w:p>
            <w:r>
              <w:rPr>
                <w:b w:val="false"/>
                <w:bCs w:val="false"/>
                <w:color w:val="1A1A1A"/>
                <w:sz w:val="19"/>
                <w:szCs w:val="19"/>
              </w:rPr>
              <w:t xml:space="preserve">Gestión Órdenes</w:t>
            </w:r>
          </w:p>
        </w:tc>
      </w:tr>
      <w:tr>
        <w:trPr>
          <w:cantSplit/>
        </w:trPr>
        <w:tc>
          <w:tcPr>
            <w:tcW w:type="dxa" w:w="2100"/>
            <w:shd w:fill="FFFFFF" w:val="clear"/>
            <w:tcMar>
              <w:top w:type="dxa" w:w="80"/>
              <w:left w:type="dxa" w:w="100"/>
              <w:bottom w:type="dxa" w:w="80"/>
              <w:right w:type="dxa" w:w="100"/>
            </w:tcMar>
          </w:tcPr>
          <w:p>
            <w:r>
              <w:rPr>
                <w:b w:val="false"/>
                <w:bCs w:val="false"/>
                <w:color w:val="1A1A1A"/>
                <w:sz w:val="19"/>
                <w:szCs w:val="19"/>
              </w:rPr>
              <w:t xml:space="preserve">Surtido</w:t>
            </w:r>
          </w:p>
        </w:tc>
        <w:tc>
          <w:tcPr>
            <w:tcW w:type="dxa" w:w="5760"/>
            <w:shd w:fill="FFFFFF" w:val="clear"/>
            <w:tcMar>
              <w:top w:type="dxa" w:w="80"/>
              <w:left w:type="dxa" w:w="100"/>
              <w:bottom w:type="dxa" w:w="80"/>
              <w:right w:type="dxa" w:w="100"/>
            </w:tcMar>
          </w:tcPr>
          <w:p>
            <w:r>
              <w:rPr>
                <w:b w:val="false"/>
                <w:bCs w:val="false"/>
                <w:color w:val="1A1A1A"/>
                <w:sz w:val="19"/>
                <w:szCs w:val="19"/>
              </w:rPr>
              <w:t xml:space="preserve">La tienda surtió el pedido. Dispara descuento de inventario, guía de envío y JSON a USICOAL Central.</w:t>
            </w:r>
          </w:p>
        </w:tc>
        <w:tc>
          <w:tcPr>
            <w:tcW w:type="dxa" w:w="1500"/>
            <w:shd w:fill="FFFFFF" w:val="clear"/>
            <w:tcMar>
              <w:top w:type="dxa" w:w="80"/>
              <w:left w:type="dxa" w:w="100"/>
              <w:bottom w:type="dxa" w:w="80"/>
              <w:right w:type="dxa" w:w="100"/>
            </w:tcMar>
          </w:tcPr>
          <w:p>
            <w:r>
              <w:rPr>
                <w:b w:val="false"/>
                <w:bCs w:val="false"/>
                <w:color w:val="1A1A1A"/>
                <w:sz w:val="19"/>
                <w:szCs w:val="19"/>
              </w:rPr>
              <w:t xml:space="preserve">Gestión Órdenes</w:t>
            </w:r>
          </w:p>
        </w:tc>
      </w:tr>
      <w:tr>
        <w:trPr>
          <w:cantSplit/>
        </w:trPr>
        <w:tc>
          <w:tcPr>
            <w:tcW w:type="dxa" w:w="2100"/>
            <w:shd w:fill="F1EFE8" w:val="clear"/>
            <w:tcMar>
              <w:top w:type="dxa" w:w="80"/>
              <w:left w:type="dxa" w:w="100"/>
              <w:bottom w:type="dxa" w:w="80"/>
              <w:right w:type="dxa" w:w="100"/>
            </w:tcMar>
          </w:tcPr>
          <w:p>
            <w:r>
              <w:rPr>
                <w:b w:val="false"/>
                <w:bCs w:val="false"/>
                <w:color w:val="1A1A1A"/>
                <w:sz w:val="19"/>
                <w:szCs w:val="19"/>
              </w:rPr>
              <w:t xml:space="preserve">En tránsito (nuevo)</w:t>
            </w:r>
          </w:p>
        </w:tc>
        <w:tc>
          <w:tcPr>
            <w:tcW w:type="dxa" w:w="5760"/>
            <w:shd w:fill="F1EFE8" w:val="clear"/>
            <w:tcMar>
              <w:top w:type="dxa" w:w="80"/>
              <w:left w:type="dxa" w:w="100"/>
              <w:bottom w:type="dxa" w:w="80"/>
              <w:right w:type="dxa" w:w="100"/>
            </w:tcMar>
          </w:tcPr>
          <w:p>
            <w:r>
              <w:rPr>
                <w:b w:val="false"/>
                <w:bCs w:val="false"/>
                <w:color w:val="1A1A1A"/>
                <w:sz w:val="19"/>
                <w:szCs w:val="19"/>
              </w:rPr>
              <w:t xml:space="preserve">El pedido está en camino. Actualizado por webhook o por el Tracking Poller Job, según el carrier.</w:t>
            </w:r>
          </w:p>
        </w:tc>
        <w:tc>
          <w:tcPr>
            <w:tcW w:type="dxa" w:w="1500"/>
            <w:shd w:fill="F1EFE8" w:val="clear"/>
            <w:tcMar>
              <w:top w:type="dxa" w:w="80"/>
              <w:left w:type="dxa" w:w="100"/>
              <w:bottom w:type="dxa" w:w="80"/>
              <w:right w:type="dxa" w:w="100"/>
            </w:tcMar>
          </w:tcPr>
          <w:p>
            <w:r>
              <w:rPr>
                <w:b w:val="false"/>
                <w:bCs w:val="false"/>
                <w:color w:val="1A1A1A"/>
                <w:sz w:val="19"/>
                <w:szCs w:val="19"/>
              </w:rPr>
              <w:t xml:space="preserve">Carrier</w:t>
            </w:r>
          </w:p>
        </w:tc>
      </w:tr>
      <w:tr>
        <w:trPr>
          <w:cantSplit/>
        </w:trPr>
        <w:tc>
          <w:tcPr>
            <w:tcW w:type="dxa" w:w="2100"/>
            <w:shd w:fill="FFFFFF" w:val="clear"/>
            <w:tcMar>
              <w:top w:type="dxa" w:w="80"/>
              <w:left w:type="dxa" w:w="100"/>
              <w:bottom w:type="dxa" w:w="80"/>
              <w:right w:type="dxa" w:w="100"/>
            </w:tcMar>
          </w:tcPr>
          <w:p>
            <w:r>
              <w:rPr>
                <w:b w:val="false"/>
                <w:bCs w:val="false"/>
                <w:color w:val="1A1A1A"/>
                <w:sz w:val="19"/>
                <w:szCs w:val="19"/>
              </w:rPr>
              <w:t xml:space="preserve">Entregado</w:t>
            </w:r>
          </w:p>
        </w:tc>
        <w:tc>
          <w:tcPr>
            <w:tcW w:type="dxa" w:w="5760"/>
            <w:shd w:fill="FFFFFF" w:val="clear"/>
            <w:tcMar>
              <w:top w:type="dxa" w:w="80"/>
              <w:left w:type="dxa" w:w="100"/>
              <w:bottom w:type="dxa" w:w="80"/>
              <w:right w:type="dxa" w:w="100"/>
            </w:tcMar>
          </w:tcPr>
          <w:p>
            <w:r>
              <w:rPr>
                <w:b w:val="false"/>
                <w:bCs w:val="false"/>
                <w:color w:val="1A1A1A"/>
                <w:sz w:val="19"/>
                <w:szCs w:val="19"/>
              </w:rPr>
              <w:t xml:space="preserve">Confirmación de entrega del carrier vía webhook. Inicia la ventana de devolución de 90 días.</w:t>
            </w:r>
          </w:p>
        </w:tc>
        <w:tc>
          <w:tcPr>
            <w:tcW w:type="dxa" w:w="1500"/>
            <w:shd w:fill="FFFFFF" w:val="clear"/>
            <w:tcMar>
              <w:top w:type="dxa" w:w="80"/>
              <w:left w:type="dxa" w:w="100"/>
              <w:bottom w:type="dxa" w:w="80"/>
              <w:right w:type="dxa" w:w="100"/>
            </w:tcMar>
          </w:tcPr>
          <w:p>
            <w:r>
              <w:rPr>
                <w:b w:val="false"/>
                <w:bCs w:val="false"/>
                <w:color w:val="1A1A1A"/>
                <w:sz w:val="19"/>
                <w:szCs w:val="19"/>
              </w:rPr>
              <w:t xml:space="preserve">Carrier (webhook)</w:t>
            </w:r>
          </w:p>
        </w:tc>
      </w:tr>
      <w:tr>
        <w:trPr>
          <w:cantSplit/>
        </w:trPr>
        <w:tc>
          <w:tcPr>
            <w:tcW w:type="dxa" w:w="2100"/>
            <w:shd w:fill="F1EFE8" w:val="clear"/>
            <w:tcMar>
              <w:top w:type="dxa" w:w="80"/>
              <w:left w:type="dxa" w:w="100"/>
              <w:bottom w:type="dxa" w:w="80"/>
              <w:right w:type="dxa" w:w="100"/>
            </w:tcMar>
          </w:tcPr>
          <w:p>
            <w:r>
              <w:rPr>
                <w:b w:val="false"/>
                <w:bCs w:val="false"/>
                <w:color w:val="1A1A1A"/>
                <w:sz w:val="19"/>
                <w:szCs w:val="19"/>
              </w:rPr>
              <w:t xml:space="preserve">Negado / Reroute</w:t>
            </w:r>
          </w:p>
        </w:tc>
        <w:tc>
          <w:tcPr>
            <w:tcW w:type="dxa" w:w="5760"/>
            <w:shd w:fill="F1EFE8" w:val="clear"/>
            <w:tcMar>
              <w:top w:type="dxa" w:w="80"/>
              <w:left w:type="dxa" w:w="100"/>
              <w:bottom w:type="dxa" w:w="80"/>
              <w:right w:type="dxa" w:w="100"/>
            </w:tcMar>
          </w:tcPr>
          <w:p>
            <w:r>
              <w:rPr>
                <w:b w:val="false"/>
                <w:bCs w:val="false"/>
                <w:color w:val="1A1A1A"/>
                <w:sz w:val="19"/>
                <w:szCs w:val="19"/>
              </w:rPr>
              <w:t xml:space="preserve">La tienda rechazó el pedido. iRoute reasigna a otra tienda (máx. 5 intentos).</w:t>
            </w:r>
          </w:p>
        </w:tc>
        <w:tc>
          <w:tcPr>
            <w:tcW w:type="dxa" w:w="1500"/>
            <w:shd w:fill="F1EFE8" w:val="clear"/>
            <w:tcMar>
              <w:top w:type="dxa" w:w="80"/>
              <w:left w:type="dxa" w:w="100"/>
              <w:bottom w:type="dxa" w:w="80"/>
              <w:right w:type="dxa" w:w="100"/>
            </w:tcMar>
          </w:tcPr>
          <w:p>
            <w:r>
              <w:rPr>
                <w:b w:val="false"/>
                <w:bCs w:val="false"/>
                <w:color w:val="1A1A1A"/>
                <w:sz w:val="19"/>
                <w:szCs w:val="19"/>
              </w:rPr>
              <w:t xml:space="preserve">Gestión Órdenes</w:t>
            </w:r>
          </w:p>
        </w:tc>
      </w:tr>
      <w:tr>
        <w:trPr>
          <w:cantSplit/>
        </w:trPr>
        <w:tc>
          <w:tcPr>
            <w:tcW w:type="dxa" w:w="2100"/>
            <w:shd w:fill="FFFFFF" w:val="clear"/>
            <w:tcMar>
              <w:top w:type="dxa" w:w="80"/>
              <w:left w:type="dxa" w:w="100"/>
              <w:bottom w:type="dxa" w:w="80"/>
              <w:right w:type="dxa" w:w="100"/>
            </w:tcMar>
          </w:tcPr>
          <w:p>
            <w:r>
              <w:rPr>
                <w:b w:val="false"/>
                <w:bCs w:val="false"/>
                <w:color w:val="1A1A1A"/>
                <w:sz w:val="19"/>
                <w:szCs w:val="19"/>
              </w:rPr>
              <w:t xml:space="preserve">UTF</w:t>
            </w:r>
          </w:p>
        </w:tc>
        <w:tc>
          <w:tcPr>
            <w:tcW w:type="dxa" w:w="5760"/>
            <w:shd w:fill="FFFFFF" w:val="clear"/>
            <w:tcMar>
              <w:top w:type="dxa" w:w="80"/>
              <w:left w:type="dxa" w:w="100"/>
              <w:bottom w:type="dxa" w:w="80"/>
              <w:right w:type="dxa" w:w="100"/>
            </w:tcMar>
          </w:tcPr>
          <w:p>
            <w:r>
              <w:rPr>
                <w:b w:val="false"/>
                <w:bCs w:val="false"/>
                <w:color w:val="1A1A1A"/>
                <w:sz w:val="19"/>
                <w:szCs w:val="19"/>
              </w:rPr>
              <w:t xml:space="preserve">Se agotaron los intentos de reasignación o no hay tienda disponible. Espera intervención manual.</w:t>
            </w:r>
          </w:p>
        </w:tc>
        <w:tc>
          <w:tcPr>
            <w:tcW w:type="dxa" w:w="1500"/>
            <w:shd w:fill="FFFFFF" w:val="clear"/>
            <w:tcMar>
              <w:top w:type="dxa" w:w="80"/>
              <w:left w:type="dxa" w:w="100"/>
              <w:bottom w:type="dxa" w:w="80"/>
              <w:right w:type="dxa" w:w="100"/>
            </w:tcMar>
          </w:tcPr>
          <w:p>
            <w:r>
              <w:rPr>
                <w:b w:val="false"/>
                <w:bCs w:val="false"/>
                <w:color w:val="1A1A1A"/>
                <w:sz w:val="19"/>
                <w:szCs w:val="19"/>
              </w:rPr>
              <w:t xml:space="preserve">iRoute</w:t>
            </w:r>
          </w:p>
        </w:tc>
      </w:tr>
      <w:tr>
        <w:trPr>
          <w:cantSplit/>
        </w:trPr>
        <w:tc>
          <w:tcPr>
            <w:tcW w:type="dxa" w:w="2100"/>
            <w:shd w:fill="F1EFE8" w:val="clear"/>
            <w:tcMar>
              <w:top w:type="dxa" w:w="80"/>
              <w:left w:type="dxa" w:w="100"/>
              <w:bottom w:type="dxa" w:w="80"/>
              <w:right w:type="dxa" w:w="100"/>
            </w:tcMar>
          </w:tcPr>
          <w:p>
            <w:r>
              <w:rPr>
                <w:b w:val="false"/>
                <w:bCs w:val="false"/>
                <w:color w:val="1A1A1A"/>
                <w:sz w:val="19"/>
                <w:szCs w:val="19"/>
              </w:rPr>
              <w:t xml:space="preserve">Cancelado</w:t>
            </w:r>
          </w:p>
        </w:tc>
        <w:tc>
          <w:tcPr>
            <w:tcW w:type="dxa" w:w="5760"/>
            <w:shd w:fill="F1EFE8" w:val="clear"/>
            <w:tcMar>
              <w:top w:type="dxa" w:w="80"/>
              <w:left w:type="dxa" w:w="100"/>
              <w:bottom w:type="dxa" w:w="80"/>
              <w:right w:type="dxa" w:w="100"/>
            </w:tcMar>
          </w:tcPr>
          <w:p>
            <w:r>
              <w:rPr>
                <w:b w:val="false"/>
                <w:bCs w:val="false"/>
                <w:color w:val="1A1A1A"/>
                <w:sz w:val="19"/>
                <w:szCs w:val="19"/>
              </w:rPr>
              <w:t xml:space="preserve">Cancelación solicitada desde Torre de Control, solo si el pedido no ha sido surtido.</w:t>
            </w:r>
          </w:p>
        </w:tc>
        <w:tc>
          <w:tcPr>
            <w:tcW w:type="dxa" w:w="1500"/>
            <w:shd w:fill="F1EFE8" w:val="clear"/>
            <w:tcMar>
              <w:top w:type="dxa" w:w="80"/>
              <w:left w:type="dxa" w:w="100"/>
              <w:bottom w:type="dxa" w:w="80"/>
              <w:right w:type="dxa" w:w="100"/>
            </w:tcMar>
          </w:tcPr>
          <w:p>
            <w:r>
              <w:rPr>
                <w:b w:val="false"/>
                <w:bCs w:val="false"/>
                <w:color w:val="1A1A1A"/>
                <w:sz w:val="19"/>
                <w:szCs w:val="19"/>
              </w:rPr>
              <w:t xml:space="preserve">Torre de Control</w:t>
            </w:r>
          </w:p>
        </w:tc>
      </w:tr>
      <w:tr>
        <w:trPr>
          <w:cantSplit/>
        </w:trPr>
        <w:tc>
          <w:tcPr>
            <w:tcW w:type="dxa" w:w="2100"/>
            <w:shd w:fill="FFFFFF" w:val="clear"/>
            <w:tcMar>
              <w:top w:type="dxa" w:w="80"/>
              <w:left w:type="dxa" w:w="100"/>
              <w:bottom w:type="dxa" w:w="80"/>
              <w:right w:type="dxa" w:w="100"/>
            </w:tcMar>
          </w:tcPr>
          <w:p>
            <w:r>
              <w:rPr>
                <w:b w:val="false"/>
                <w:bCs w:val="false"/>
                <w:color w:val="1A1A1A"/>
                <w:sz w:val="19"/>
                <w:szCs w:val="19"/>
              </w:rPr>
              <w:t xml:space="preserve">Devuelto</w:t>
            </w:r>
          </w:p>
        </w:tc>
        <w:tc>
          <w:tcPr>
            <w:tcW w:type="dxa" w:w="5760"/>
            <w:shd w:fill="FFFFFF" w:val="clear"/>
            <w:tcMar>
              <w:top w:type="dxa" w:w="80"/>
              <w:left w:type="dxa" w:w="100"/>
              <w:bottom w:type="dxa" w:w="80"/>
              <w:right w:type="dxa" w:w="100"/>
            </w:tcMar>
          </w:tcPr>
          <w:p>
            <w:r>
              <w:rPr>
                <w:b w:val="false"/>
                <w:bCs w:val="false"/>
                <w:color w:val="1A1A1A"/>
                <w:sz w:val="19"/>
                <w:szCs w:val="19"/>
              </w:rPr>
              <w:t xml:space="preserve">Devolución solicitada en POS dentro de la ventana de 90 días desde la entrega.</w:t>
            </w:r>
          </w:p>
        </w:tc>
        <w:tc>
          <w:tcPr>
            <w:tcW w:type="dxa" w:w="1500"/>
            <w:shd w:fill="FFFFFF" w:val="clear"/>
            <w:tcMar>
              <w:top w:type="dxa" w:w="80"/>
              <w:left w:type="dxa" w:w="100"/>
              <w:bottom w:type="dxa" w:w="80"/>
              <w:right w:type="dxa" w:w="100"/>
            </w:tcMar>
          </w:tcPr>
          <w:p>
            <w:r>
              <w:rPr>
                <w:b w:val="false"/>
                <w:bCs w:val="false"/>
                <w:color w:val="1A1A1A"/>
                <w:sz w:val="19"/>
                <w:szCs w:val="19"/>
              </w:rPr>
              <w:t xml:space="preserve">POS</w:t>
            </w:r>
          </w:p>
        </w:tc>
      </w:tr>
    </w:tbl>
    <w:p>
      <w:pPr>
        <w:pStyle w:val="Heading1"/>
        <w:spacing w:after="200" w:before="400"/>
      </w:pPr>
      <w:r>
        <w:t xml:space="preserve">4. Flujos detallados</w:t>
      </w:r>
    </w:p>
    <w:p>
      <w:pPr>
        <w:pStyle w:val="Heading2"/>
        <w:spacing w:after="150" w:before="300"/>
      </w:pPr>
      <w:r>
        <w:t xml:space="preserve">4.1 Asignación, aceptación y rechazo</w:t>
      </w:r>
    </w:p>
    <w:p>
      <w:pPr>
        <w:spacing w:after="160"/>
      </w:pPr>
      <w:r>
        <w:t xml:space="preserve">Este flujo cubre desde que iRoute asigna una tienda hasta que el pedido queda surtido, o hasta que se agotan los intentos de reasignación. La reserva de inventario depende de “Aceptado”, no de “Asignado”, evitando comprometer inventario para pedidos que la tienda todavía no ha confirmado.</w:t>
      </w:r>
    </w:p>
    <w:p>
      <w:pPr>
        <w:spacing w:after="100" w:before="200"/>
        <w:jc w:val="center"/>
      </w:pPr>
      <w:r>
        <w:drawing>
          <wp:inline distT="0" distB="0" distL="0" distR="0">
            <wp:extent cx="5334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505325"/>
                    </a:xfrm>
                    <a:prstGeom prst="rect">
                      <a:avLst/>
                    </a:prstGeom>
                  </pic:spPr>
                </pic:pic>
              </a:graphicData>
            </a:graphic>
          </wp:inline>
        </w:drawing>
      </w:r>
    </w:p>
    <w:p>
      <w:pPr>
        <w:spacing w:after="240"/>
        <w:jc w:val="center"/>
      </w:pPr>
      <w:r>
        <w:rPr>
          <w:i/>
          <w:iCs/>
          <w:color w:val="5F5E5A"/>
          <w:sz w:val="19"/>
          <w:szCs w:val="19"/>
        </w:rPr>
        <w:t xml:space="preserve">Figura 3. Flujo de asignación, aceptación y rechazo, incluyendo las acciones que dispara cada estatus.</w:t>
      </w:r>
    </w:p>
    <w:p>
      <w:pPr>
        <w:pStyle w:val="Heading2"/>
        <w:spacing w:after="150" w:before="300"/>
      </w:pPr>
      <w:r>
        <w:t xml:space="preserve">4.2 Entrega y tracking (webhook / polling)</w:t>
      </w:r>
    </w:p>
    <w:p>
      <w:pPr>
        <w:spacing w:after="160"/>
      </w:pPr>
      <w:r>
        <w:t xml:space="preserve">Como los carriers no son homogéneos, existen dos rutas de entrada para “En tránsito” y “Entregado”: los carriers con webhook llegan en tiempo real a través del Webhook Receiver Service; los carriers sin webhook se consultan mediante un job de polling. Ambas rutas convergen en el mismo endpoint de cambio de estatus de la GNC API.</w:t>
      </w:r>
    </w:p>
    <w:p>
      <w:pPr>
        <w:spacing w:after="100" w:before="200"/>
        <w:jc w:val="center"/>
      </w:pPr>
      <w:r>
        <w:drawing>
          <wp:inline distT="0" distB="0" distL="0" distR="0">
            <wp:extent cx="5524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343400"/>
                    </a:xfrm>
                    <a:prstGeom prst="rect">
                      <a:avLst/>
                    </a:prstGeom>
                  </pic:spPr>
                </pic:pic>
              </a:graphicData>
            </a:graphic>
          </wp:inline>
        </w:drawing>
      </w:r>
    </w:p>
    <w:p>
      <w:pPr>
        <w:spacing w:after="240"/>
        <w:jc w:val="center"/>
      </w:pPr>
      <w:r>
        <w:rPr>
          <w:i/>
          <w:iCs/>
          <w:color w:val="5F5E5A"/>
          <w:sz w:val="19"/>
          <w:szCs w:val="19"/>
        </w:rPr>
        <w:t xml:space="preserve">Figura 4. Convergencia de las dos rutas de tracking en el mismo endpoint, con reconciliación y alertas.</w:t>
      </w:r>
    </w:p>
    <w:p>
      <w:pPr>
        <w:spacing w:after="160"/>
      </w:pPr>
      <w:r>
        <w:t xml:space="preserve">El job de reconciliación compara la bitácora de estatus (order_status_history) contra los eventos efectivamente escritos en outbox_events, y alerta a Torre de Control si detecta huecos. Nota: “Escritor único de estatus” en esta figura corresponde a los endpoints de la GNC API descritos en la sección 5.</w:t>
      </w:r>
    </w:p>
    <w:p>
      <w:pPr>
        <w:pStyle w:val="Heading2"/>
        <w:spacing w:after="150" w:before="300"/>
      </w:pPr>
      <w:r>
        <w:t xml:space="preserve">4.3 Cancelación y devolución</w:t>
      </w:r>
    </w:p>
    <w:p>
      <w:pPr>
        <w:spacing w:after="160"/>
      </w:pPr>
      <w:r>
        <w:t xml:space="preserve">La cancelación solo aplica si el pedido no ha sido surtido; después de surtido, el único camino es la devolución. Ambos flujos comparten el mismo patrón: validar una condición antes de proceder, y solo tocar el inventario cuando efectivamente existe algo que liberar o reponer.</w:t>
      </w:r>
    </w:p>
    <w:p>
      <w:pPr>
        <w:spacing w:after="100" w:before="200"/>
        <w:jc w:val="center"/>
      </w:pPr>
      <w:r>
        <w:drawing>
          <wp:inline distT="0" distB="0" distL="0" distR="0">
            <wp:extent cx="51435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848225"/>
                    </a:xfrm>
                    <a:prstGeom prst="rect">
                      <a:avLst/>
                    </a:prstGeom>
                  </pic:spPr>
                </pic:pic>
              </a:graphicData>
            </a:graphic>
          </wp:inline>
        </w:drawing>
      </w:r>
    </w:p>
    <w:p>
      <w:pPr>
        <w:spacing w:after="240"/>
        <w:jc w:val="center"/>
      </w:pPr>
      <w:r>
        <w:rPr>
          <w:i/>
          <w:iCs/>
          <w:color w:val="5F5E5A"/>
          <w:sz w:val="19"/>
          <w:szCs w:val="19"/>
        </w:rPr>
        <w:t xml:space="preserve">Figura 5. Flujos de cancelación (izquierda) y devolución (derecha).</w:t>
      </w:r>
    </w:p>
    <w:p>
      <w:pPr>
        <w:pStyle w:val="Heading1"/>
        <w:spacing w:after="200" w:before="400"/>
      </w:pPr>
      <w:r>
        <w:t xml:space="preserve">5. GNC API</w:t>
      </w:r>
    </w:p>
    <w:p>
      <w:pPr>
        <w:spacing w:after="160"/>
      </w:pPr>
      <w:r>
        <w:t xml:space="preserve">Es un servicio nuevo, construido desde cero. Es la única puerta de entrada — lectura y escritura — a GNC DB; ningún sistema debe conectarse directo a la base de datos. Vive como un solo proceso .NET con varias partes internas: los endpoints HTTP, el Outbox Publisher, el Integration Monitor, y los workers de polling de cada consumidor.</w:t>
      </w:r>
    </w:p>
    <w:p>
      <w:pPr>
        <w:spacing w:after="160"/>
      </w:pPr>
      <w:r>
        <w:t xml:space="preserve">El contrato completo de los 11 endpoints (request, response, validaciones, eventos) está documentado en la guía separada “GNC API — Guía de implementación”, dirigida al equipo de desarrollo. Esta sección resume su rol dentro de la arquitectura.</w:t>
      </w:r>
    </w:p>
    <w:p>
      <w:pPr>
        <w:pStyle w:val="Heading2"/>
        <w:spacing w:after="150" w:before="300"/>
      </w:pPr>
      <w:r>
        <w:t xml:space="preserve">5.1 Endpoints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534AB7" w:val="clear"/>
            <w:tcMar>
              <w:top w:type="dxa" w:w="80"/>
              <w:left w:type="dxa" w:w="100"/>
              <w:bottom w:type="dxa" w:w="80"/>
              <w:right w:type="dxa" w:w="100"/>
            </w:tcMar>
          </w:tcPr>
          <w:p>
            <w:r>
              <w:rPr>
                <w:b/>
                <w:bCs/>
                <w:color w:val="FFFFFF"/>
                <w:sz w:val="19"/>
                <w:szCs w:val="19"/>
              </w:rPr>
              <w:t xml:space="preserve">Endpoint</w:t>
            </w:r>
          </w:p>
        </w:tc>
        <w:tc>
          <w:tcPr>
            <w:tcW w:type="dxa" w:w="6160"/>
            <w:shd w:fill="534AB7" w:val="clear"/>
            <w:tcMar>
              <w:top w:type="dxa" w:w="80"/>
              <w:left w:type="dxa" w:w="100"/>
              <w:bottom w:type="dxa" w:w="80"/>
              <w:right w:type="dxa" w:w="100"/>
            </w:tcMar>
          </w:tcPr>
          <w:p>
            <w:r>
              <w:rPr>
                <w:b/>
                <w:bCs/>
                <w:color w:val="FFFFFF"/>
                <w:sz w:val="19"/>
                <w:szCs w:val="19"/>
              </w:rPr>
              <w:t xml:space="preserve">Propósito</w:t>
            </w:r>
          </w:p>
        </w:tc>
      </w:tr>
      <w:tr>
        <w:trPr>
          <w:cantSplit/>
        </w:trPr>
        <w:tc>
          <w:tcPr>
            <w:tcW w:type="dxa" w:w="3200"/>
            <w:shd w:fill="F1EFE8" w:val="clear"/>
            <w:tcMar>
              <w:top w:type="dxa" w:w="80"/>
              <w:left w:type="dxa" w:w="100"/>
              <w:bottom w:type="dxa" w:w="80"/>
              <w:right w:type="dxa" w:w="100"/>
            </w:tcMar>
          </w:tcPr>
          <w:p>
            <w:r>
              <w:rPr>
                <w:b w:val="false"/>
                <w:bCs w:val="false"/>
                <w:color w:val="1A1A1A"/>
                <w:sz w:val="19"/>
                <w:szCs w:val="19"/>
              </w:rPr>
              <w:t xml:space="preserve">POST /api/orders</w:t>
            </w:r>
          </w:p>
        </w:tc>
        <w:tc>
          <w:tcPr>
            <w:tcW w:type="dxa" w:w="6160"/>
            <w:shd w:fill="F1EFE8" w:val="clear"/>
            <w:tcMar>
              <w:top w:type="dxa" w:w="80"/>
              <w:left w:type="dxa" w:w="100"/>
              <w:bottom w:type="dxa" w:w="80"/>
              <w:right w:type="dxa" w:w="100"/>
            </w:tcMar>
          </w:tcPr>
          <w:p>
            <w:r>
              <w:rPr>
                <w:b w:val="false"/>
                <w:bCs w:val="false"/>
                <w:color w:val="1A1A1A"/>
                <w:sz w:val="19"/>
                <w:szCs w:val="19"/>
              </w:rPr>
              <w:t xml:space="preserve">Crea la orden (OrderCreate), idempotente por order_number</w:t>
            </w:r>
          </w:p>
        </w:tc>
      </w:tr>
      <w:tr>
        <w:trPr>
          <w:cantSplit/>
        </w:trPr>
        <w:tc>
          <w:tcPr>
            <w:tcW w:type="dxa" w:w="3200"/>
            <w:shd w:fill="FFFFFF" w:val="clear"/>
            <w:tcMar>
              <w:top w:type="dxa" w:w="80"/>
              <w:left w:type="dxa" w:w="100"/>
              <w:bottom w:type="dxa" w:w="80"/>
              <w:right w:type="dxa" w:w="100"/>
            </w:tcMar>
          </w:tcPr>
          <w:p>
            <w:r>
              <w:rPr>
                <w:b w:val="false"/>
                <w:bCs w:val="false"/>
                <w:color w:val="1A1A1A"/>
                <w:sz w:val="19"/>
                <w:szCs w:val="19"/>
              </w:rPr>
              <w:t xml:space="preserve">GET /api/orders/lookup</w:t>
            </w:r>
          </w:p>
        </w:tc>
        <w:tc>
          <w:tcPr>
            <w:tcW w:type="dxa" w:w="6160"/>
            <w:shd w:fill="FFFFFF" w:val="clear"/>
            <w:tcMar>
              <w:top w:type="dxa" w:w="80"/>
              <w:left w:type="dxa" w:w="100"/>
              <w:bottom w:type="dxa" w:w="80"/>
              <w:right w:type="dxa" w:w="100"/>
            </w:tcMar>
          </w:tcPr>
          <w:p>
            <w:r>
              <w:rPr>
                <w:b w:val="false"/>
                <w:bCs w:val="false"/>
                <w:color w:val="1A1A1A"/>
                <w:sz w:val="19"/>
                <w:szCs w:val="19"/>
              </w:rPr>
              <w:t xml:space="preserve">Traduce order_number externo a order_id interno</w:t>
            </w:r>
          </w:p>
        </w:tc>
      </w:tr>
      <w:tr>
        <w:trPr>
          <w:cantSplit/>
        </w:trPr>
        <w:tc>
          <w:tcPr>
            <w:tcW w:type="dxa" w:w="3200"/>
            <w:shd w:fill="F1EFE8" w:val="clear"/>
            <w:tcMar>
              <w:top w:type="dxa" w:w="80"/>
              <w:left w:type="dxa" w:w="100"/>
              <w:bottom w:type="dxa" w:w="80"/>
              <w:right w:type="dxa" w:w="100"/>
            </w:tcMar>
          </w:tcPr>
          <w:p>
            <w:r>
              <w:rPr>
                <w:b w:val="false"/>
                <w:bCs w:val="false"/>
                <w:color w:val="1A1A1A"/>
                <w:sz w:val="19"/>
                <w:szCs w:val="19"/>
              </w:rPr>
              <w:t xml:space="preserve">POST /api/orders/{id}/status</w:t>
            </w:r>
          </w:p>
        </w:tc>
        <w:tc>
          <w:tcPr>
            <w:tcW w:type="dxa" w:w="6160"/>
            <w:shd w:fill="F1EFE8" w:val="clear"/>
            <w:tcMar>
              <w:top w:type="dxa" w:w="80"/>
              <w:left w:type="dxa" w:w="100"/>
              <w:bottom w:type="dxa" w:w="80"/>
              <w:right w:type="dxa" w:w="100"/>
            </w:tcMar>
          </w:tcPr>
          <w:p>
            <w:r>
              <w:rPr>
                <w:b w:val="false"/>
                <w:bCs w:val="false"/>
                <w:color w:val="1A1A1A"/>
                <w:sz w:val="19"/>
                <w:szCs w:val="19"/>
              </w:rPr>
              <w:t xml:space="preserve">Cambia el estatus; valida transición y escribe en el outbox</w:t>
            </w:r>
          </w:p>
        </w:tc>
      </w:tr>
      <w:tr>
        <w:trPr>
          <w:cantSplit/>
        </w:trPr>
        <w:tc>
          <w:tcPr>
            <w:tcW w:type="dxa" w:w="3200"/>
            <w:shd w:fill="FFFFFF" w:val="clear"/>
            <w:tcMar>
              <w:top w:type="dxa" w:w="80"/>
              <w:left w:type="dxa" w:w="100"/>
              <w:bottom w:type="dxa" w:w="80"/>
              <w:right w:type="dxa" w:w="100"/>
            </w:tcMar>
          </w:tcPr>
          <w:p>
            <w:r>
              <w:rPr>
                <w:b w:val="false"/>
                <w:bCs w:val="false"/>
                <w:color w:val="1A1A1A"/>
                <w:sz w:val="19"/>
                <w:szCs w:val="19"/>
              </w:rPr>
              <w:t xml:space="preserve">PATCH /api/orders/{id}</w:t>
            </w:r>
          </w:p>
        </w:tc>
        <w:tc>
          <w:tcPr>
            <w:tcW w:type="dxa" w:w="6160"/>
            <w:shd w:fill="FFFFFF" w:val="clear"/>
            <w:tcMar>
              <w:top w:type="dxa" w:w="80"/>
              <w:left w:type="dxa" w:w="100"/>
              <w:bottom w:type="dxa" w:w="80"/>
              <w:right w:type="dxa" w:w="100"/>
            </w:tcMar>
          </w:tcPr>
          <w:p>
            <w:r>
              <w:rPr>
                <w:b w:val="false"/>
                <w:bCs w:val="false"/>
                <w:color w:val="1A1A1A"/>
                <w:sz w:val="19"/>
                <w:szCs w:val="19"/>
              </w:rPr>
              <w:t xml:space="preserve">Actualiza campos generales sin cambiar estatus</w:t>
            </w:r>
          </w:p>
        </w:tc>
      </w:tr>
      <w:tr>
        <w:trPr>
          <w:cantSplit/>
        </w:trPr>
        <w:tc>
          <w:tcPr>
            <w:tcW w:type="dxa" w:w="3200"/>
            <w:shd w:fill="F1EFE8" w:val="clear"/>
            <w:tcMar>
              <w:top w:type="dxa" w:w="80"/>
              <w:left w:type="dxa" w:w="100"/>
              <w:bottom w:type="dxa" w:w="80"/>
              <w:right w:type="dxa" w:w="100"/>
            </w:tcMar>
          </w:tcPr>
          <w:p>
            <w:r>
              <w:rPr>
                <w:b w:val="false"/>
                <w:bCs w:val="false"/>
                <w:color w:val="1A1A1A"/>
                <w:sz w:val="19"/>
                <w:szCs w:val="19"/>
              </w:rPr>
              <w:t xml:space="preserve">GET /api/orders/{id}</w:t>
            </w:r>
          </w:p>
        </w:tc>
        <w:tc>
          <w:tcPr>
            <w:tcW w:type="dxa" w:w="6160"/>
            <w:shd w:fill="F1EFE8" w:val="clear"/>
            <w:tcMar>
              <w:top w:type="dxa" w:w="80"/>
              <w:left w:type="dxa" w:w="100"/>
              <w:bottom w:type="dxa" w:w="80"/>
              <w:right w:type="dxa" w:w="100"/>
            </w:tcMar>
          </w:tcPr>
          <w:p>
            <w:r>
              <w:rPr>
                <w:b w:val="false"/>
                <w:bCs w:val="false"/>
                <w:color w:val="1A1A1A"/>
                <w:sz w:val="19"/>
                <w:szCs w:val="19"/>
              </w:rPr>
              <w:t xml:space="preserve">Consulta un pedido completo</w:t>
            </w:r>
          </w:p>
        </w:tc>
      </w:tr>
      <w:tr>
        <w:trPr>
          <w:cantSplit/>
        </w:trPr>
        <w:tc>
          <w:tcPr>
            <w:tcW w:type="dxa" w:w="3200"/>
            <w:shd w:fill="FFFFFF" w:val="clear"/>
            <w:tcMar>
              <w:top w:type="dxa" w:w="80"/>
              <w:left w:type="dxa" w:w="100"/>
              <w:bottom w:type="dxa" w:w="80"/>
              <w:right w:type="dxa" w:w="100"/>
            </w:tcMar>
          </w:tcPr>
          <w:p>
            <w:r>
              <w:rPr>
                <w:b w:val="false"/>
                <w:bCs w:val="false"/>
                <w:color w:val="1A1A1A"/>
                <w:sz w:val="19"/>
                <w:szCs w:val="19"/>
              </w:rPr>
              <w:t xml:space="preserve">GET /api/orders/{id}/history</w:t>
            </w:r>
          </w:p>
        </w:tc>
        <w:tc>
          <w:tcPr>
            <w:tcW w:type="dxa" w:w="6160"/>
            <w:shd w:fill="FFFFFF" w:val="clear"/>
            <w:tcMar>
              <w:top w:type="dxa" w:w="80"/>
              <w:left w:type="dxa" w:w="100"/>
              <w:bottom w:type="dxa" w:w="80"/>
              <w:right w:type="dxa" w:w="100"/>
            </w:tcMar>
          </w:tcPr>
          <w:p>
            <w:r>
              <w:rPr>
                <w:b w:val="false"/>
                <w:bCs w:val="false"/>
                <w:color w:val="1A1A1A"/>
                <w:sz w:val="19"/>
                <w:szCs w:val="19"/>
              </w:rPr>
              <w:t xml:space="preserve">Consulta la bitácora de cambios</w:t>
            </w:r>
          </w:p>
        </w:tc>
      </w:tr>
      <w:tr>
        <w:trPr>
          <w:cantSplit/>
        </w:trPr>
        <w:tc>
          <w:tcPr>
            <w:tcW w:type="dxa" w:w="3200"/>
            <w:shd w:fill="F1EFE8" w:val="clear"/>
            <w:tcMar>
              <w:top w:type="dxa" w:w="80"/>
              <w:left w:type="dxa" w:w="100"/>
              <w:bottom w:type="dxa" w:w="80"/>
              <w:right w:type="dxa" w:w="100"/>
            </w:tcMar>
          </w:tcPr>
          <w:p>
            <w:r>
              <w:rPr>
                <w:b w:val="false"/>
                <w:bCs w:val="false"/>
                <w:color w:val="1A1A1A"/>
                <w:sz w:val="19"/>
                <w:szCs w:val="19"/>
              </w:rPr>
              <w:t xml:space="preserve">GET /api/orders?filtros</w:t>
            </w:r>
          </w:p>
        </w:tc>
        <w:tc>
          <w:tcPr>
            <w:tcW w:type="dxa" w:w="6160"/>
            <w:shd w:fill="F1EFE8" w:val="clear"/>
            <w:tcMar>
              <w:top w:type="dxa" w:w="80"/>
              <w:left w:type="dxa" w:w="100"/>
              <w:bottom w:type="dxa" w:w="80"/>
              <w:right w:type="dxa" w:w="100"/>
            </w:tcMar>
          </w:tcPr>
          <w:p>
            <w:r>
              <w:rPr>
                <w:b w:val="false"/>
                <w:bCs w:val="false"/>
                <w:color w:val="1A1A1A"/>
                <w:sz w:val="19"/>
                <w:szCs w:val="19"/>
              </w:rPr>
              <w:t xml:space="preserve">Lista pedidos por criterio (usado por los workers de polling)</w:t>
            </w:r>
          </w:p>
        </w:tc>
      </w:tr>
      <w:tr>
        <w:trPr>
          <w:cantSplit/>
        </w:trPr>
        <w:tc>
          <w:tcPr>
            <w:tcW w:type="dxa" w:w="3200"/>
            <w:shd w:fill="FFFFFF" w:val="clear"/>
            <w:tcMar>
              <w:top w:type="dxa" w:w="80"/>
              <w:left w:type="dxa" w:w="100"/>
              <w:bottom w:type="dxa" w:w="80"/>
              <w:right w:type="dxa" w:w="100"/>
            </w:tcMar>
          </w:tcPr>
          <w:p>
            <w:r>
              <w:rPr>
                <w:b w:val="false"/>
                <w:bCs w:val="false"/>
                <w:color w:val="1A1A1A"/>
                <w:sz w:val="19"/>
                <w:szCs w:val="19"/>
              </w:rPr>
              <w:t xml:space="preserve">POST /api/orders/{id}/ack-irroute-sync</w:t>
            </w:r>
          </w:p>
        </w:tc>
        <w:tc>
          <w:tcPr>
            <w:tcW w:type="dxa" w:w="6160"/>
            <w:shd w:fill="FFFFFF" w:val="clear"/>
            <w:tcMar>
              <w:top w:type="dxa" w:w="80"/>
              <w:left w:type="dxa" w:w="100"/>
              <w:bottom w:type="dxa" w:w="80"/>
              <w:right w:type="dxa" w:w="100"/>
            </w:tcMar>
          </w:tcPr>
          <w:p>
            <w:r>
              <w:rPr>
                <w:b w:val="false"/>
                <w:bCs w:val="false"/>
                <w:color w:val="1A1A1A"/>
                <w:sz w:val="19"/>
                <w:szCs w:val="19"/>
              </w:rPr>
              <w:t xml:space="preserve">iRoute confirma que ya procesó un estatus</w:t>
            </w:r>
          </w:p>
        </w:tc>
      </w:tr>
      <w:tr>
        <w:trPr>
          <w:cantSplit/>
        </w:trPr>
        <w:tc>
          <w:tcPr>
            <w:tcW w:type="dxa" w:w="3200"/>
            <w:shd w:fill="F1EFE8" w:val="clear"/>
            <w:tcMar>
              <w:top w:type="dxa" w:w="80"/>
              <w:left w:type="dxa" w:w="100"/>
              <w:bottom w:type="dxa" w:w="80"/>
              <w:right w:type="dxa" w:w="100"/>
            </w:tcMar>
          </w:tcPr>
          <w:p>
            <w:r>
              <w:rPr>
                <w:b w:val="false"/>
                <w:bCs w:val="false"/>
                <w:color w:val="1A1A1A"/>
                <w:sz w:val="19"/>
                <w:szCs w:val="19"/>
              </w:rPr>
              <w:t xml:space="preserve">GET /api/carriers</w:t>
            </w:r>
          </w:p>
        </w:tc>
        <w:tc>
          <w:tcPr>
            <w:tcW w:type="dxa" w:w="6160"/>
            <w:shd w:fill="F1EFE8" w:val="clear"/>
            <w:tcMar>
              <w:top w:type="dxa" w:w="80"/>
              <w:left w:type="dxa" w:w="100"/>
              <w:bottom w:type="dxa" w:w="80"/>
              <w:right w:type="dxa" w:w="100"/>
            </w:tcMar>
          </w:tcPr>
          <w:p>
            <w:r>
              <w:rPr>
                <w:b w:val="false"/>
                <w:bCs w:val="false"/>
                <w:color w:val="1A1A1A"/>
                <w:sz w:val="19"/>
                <w:szCs w:val="19"/>
              </w:rPr>
              <w:t xml:space="preserve">Consulta configuración de carriers</w:t>
            </w:r>
          </w:p>
        </w:tc>
      </w:tr>
      <w:tr>
        <w:trPr>
          <w:cantSplit/>
        </w:trPr>
        <w:tc>
          <w:tcPr>
            <w:tcW w:type="dxa" w:w="3200"/>
            <w:shd w:fill="FFFFFF" w:val="clear"/>
            <w:tcMar>
              <w:top w:type="dxa" w:w="80"/>
              <w:left w:type="dxa" w:w="100"/>
              <w:bottom w:type="dxa" w:w="80"/>
              <w:right w:type="dxa" w:w="100"/>
            </w:tcMar>
          </w:tcPr>
          <w:p>
            <w:r>
              <w:rPr>
                <w:b w:val="false"/>
                <w:bCs w:val="false"/>
                <w:color w:val="1A1A1A"/>
                <w:sz w:val="19"/>
                <w:szCs w:val="19"/>
              </w:rPr>
              <w:t xml:space="preserve">GET /api/alerts, POST /api/alerts/{id}/resolver</w:t>
            </w:r>
          </w:p>
        </w:tc>
        <w:tc>
          <w:tcPr>
            <w:tcW w:type="dxa" w:w="6160"/>
            <w:shd w:fill="FFFFFF" w:val="clear"/>
            <w:tcMar>
              <w:top w:type="dxa" w:w="80"/>
              <w:left w:type="dxa" w:w="100"/>
              <w:bottom w:type="dxa" w:w="80"/>
              <w:right w:type="dxa" w:w="100"/>
            </w:tcMar>
          </w:tcPr>
          <w:p>
            <w:r>
              <w:rPr>
                <w:b w:val="false"/>
                <w:bCs w:val="false"/>
                <w:color w:val="1A1A1A"/>
                <w:sz w:val="19"/>
                <w:szCs w:val="19"/>
              </w:rPr>
              <w:t xml:space="preserve">Panel de alertas de integración para Torre de Control</w:t>
            </w:r>
          </w:p>
        </w:tc>
      </w:tr>
    </w:tbl>
    <w:p>
      <w:pPr>
        <w:pStyle w:val="Heading2"/>
        <w:spacing w:after="150" w:before="300"/>
      </w:pPr>
      <w:r>
        <w:t xml:space="preserve">5.2 Sincronización de iRoute: push y pull</w:t>
      </w:r>
    </w:p>
    <w:p>
      <w:pPr>
        <w:spacing w:after="160"/>
      </w:pPr>
      <w:r>
        <w:t xml:space="preserve">El mecanismo principal sigue siendo push: un worker reacciona al nuevo evento en outbox_events y llama a iRoute igual que hoy. El mecanismo pull es una capa de auto-reparación: iRoute puede consultar periódicamente GET /api/orders?pendienteSyncIRoute=true y confirmar cada uno con POST /ack-irroute-sync, para no depender de que un evento perdido solo se detecte por alerta manual.</w:t>
      </w:r>
    </w:p>
    <w:p>
      <w:pPr>
        <w:spacing w:after="160"/>
      </w:pPr>
      <w:r>
        <w:t xml:space="preserve">Este mecanismo pull requiere desarrollo nuevo dentro de iRoute. Queda como punto abierto en la sección 11: si el equipo de iRoute no puede asumirlo, el diseño sigue funcionando solo con push + el job de reconciliación como red de seguridad.</w:t>
      </w:r>
    </w:p>
    <w:p>
      <w:pPr>
        <w:pStyle w:val="Heading1"/>
        <w:spacing w:after="200" w:before="400"/>
      </w:pPr>
      <w:r>
        <w:t xml:space="preserve">6. Integration Monitor</w:t>
      </w:r>
    </w:p>
    <w:p>
      <w:pPr>
        <w:spacing w:after="160"/>
      </w:pPr>
      <w:r>
        <w:t xml:space="preserve">Es un BackgroundService que corre revisiones periódicas sobre varias fuentes a la vez, y cuando detecta un problema, registra una alerta que Torre de Control puede ver y atender.</w:t>
      </w:r>
    </w:p>
    <w:p>
      <w:pPr>
        <w:spacing w:after="100" w:before="2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5F5E5A"/>
          <w:sz w:val="19"/>
          <w:szCs w:val="19"/>
        </w:rPr>
        <w:t xml:space="preserve">Figura 6. Las 5 revisiones del Integration Monitor, control de duplicados y las dos vías de aviso.</w:t>
      </w:r>
    </w:p>
    <w:p>
      <w:pPr>
        <w:pStyle w:val="Heading2"/>
        <w:spacing w:after="150" w:before="300"/>
      </w:pPr>
      <w:r>
        <w:t xml:space="preserve">6.1 Las 5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100"/>
        <w:gridCol w:w="3860"/>
      </w:tblGrid>
      <w:tr>
        <w:trPr>
          <w:cantSplit/>
          <w:tblHeader/>
        </w:trPr>
        <w:tc>
          <w:tcPr>
            <w:tcW w:type="dxa" w:w="500"/>
            <w:shd w:fill="534AB7" w:val="clear"/>
            <w:tcMar>
              <w:top w:type="dxa" w:w="80"/>
              <w:left w:type="dxa" w:w="100"/>
              <w:bottom w:type="dxa" w:w="80"/>
              <w:right w:type="dxa" w:w="100"/>
            </w:tcMar>
          </w:tcPr>
          <w:p>
            <w:r>
              <w:rPr>
                <w:b/>
                <w:bCs/>
                <w:color w:val="FFFFFF"/>
                <w:sz w:val="19"/>
                <w:szCs w:val="19"/>
              </w:rPr>
              <w:t xml:space="preserve">#</w:t>
            </w:r>
          </w:p>
        </w:tc>
        <w:tc>
          <w:tcPr>
            <w:tcW w:type="dxa" w:w="2900"/>
            <w:shd w:fill="534AB7" w:val="clear"/>
            <w:tcMar>
              <w:top w:type="dxa" w:w="80"/>
              <w:left w:type="dxa" w:w="100"/>
              <w:bottom w:type="dxa" w:w="80"/>
              <w:right w:type="dxa" w:w="100"/>
            </w:tcMar>
          </w:tcPr>
          <w:p>
            <w:r>
              <w:rPr>
                <w:b/>
                <w:bCs/>
                <w:color w:val="FFFFFF"/>
                <w:sz w:val="19"/>
                <w:szCs w:val="19"/>
              </w:rPr>
              <w:t xml:space="preserve">Qué revisa</w:t>
            </w:r>
          </w:p>
        </w:tc>
        <w:tc>
          <w:tcPr>
            <w:tcW w:type="dxa" w:w="2100"/>
            <w:shd w:fill="534AB7" w:val="clear"/>
            <w:tcMar>
              <w:top w:type="dxa" w:w="80"/>
              <w:left w:type="dxa" w:w="100"/>
              <w:bottom w:type="dxa" w:w="80"/>
              <w:right w:type="dxa" w:w="100"/>
            </w:tcMar>
          </w:tcPr>
          <w:p>
            <w:r>
              <w:rPr>
                <w:b/>
                <w:bCs/>
                <w:color w:val="FFFFFF"/>
                <w:sz w:val="19"/>
                <w:szCs w:val="19"/>
              </w:rPr>
              <w:t xml:space="preserve">Frecuencia</w:t>
            </w:r>
          </w:p>
        </w:tc>
        <w:tc>
          <w:tcPr>
            <w:tcW w:type="dxa" w:w="3860"/>
            <w:shd w:fill="534AB7" w:val="clear"/>
            <w:tcMar>
              <w:top w:type="dxa" w:w="80"/>
              <w:left w:type="dxa" w:w="100"/>
              <w:bottom w:type="dxa" w:w="80"/>
              <w:right w:type="dxa" w:w="100"/>
            </w:tcMar>
          </w:tcPr>
          <w:p>
            <w:r>
              <w:rPr>
                <w:b/>
                <w:bCs/>
                <w:color w:val="FFFFFF"/>
                <w:sz w:val="19"/>
                <w:szCs w:val="19"/>
              </w:rPr>
              <w:t xml:space="preserve">Se dispara cuando</w:t>
            </w:r>
          </w:p>
        </w:tc>
      </w:tr>
      <w:tr>
        <w:trPr>
          <w:cantSplit/>
        </w:trPr>
        <w:tc>
          <w:tcPr>
            <w:tcW w:type="dxa" w:w="500"/>
            <w:shd w:fill="F1EFE8" w:val="clear"/>
            <w:tcMar>
              <w:top w:type="dxa" w:w="80"/>
              <w:left w:type="dxa" w:w="100"/>
              <w:bottom w:type="dxa" w:w="80"/>
              <w:right w:type="dxa" w:w="100"/>
            </w:tcMar>
          </w:tcPr>
          <w:p>
            <w:r>
              <w:rPr>
                <w:b w:val="false"/>
                <w:bCs w:val="false"/>
                <w:color w:val="1A1A1A"/>
                <w:sz w:val="19"/>
                <w:szCs w:val="19"/>
              </w:rPr>
              <w:t xml:space="preserve">1</w:t>
            </w:r>
          </w:p>
        </w:tc>
        <w:tc>
          <w:tcPr>
            <w:tcW w:type="dxa" w:w="2900"/>
            <w:shd w:fill="F1EFE8" w:val="clear"/>
            <w:tcMar>
              <w:top w:type="dxa" w:w="80"/>
              <w:left w:type="dxa" w:w="100"/>
              <w:bottom w:type="dxa" w:w="80"/>
              <w:right w:type="dxa" w:w="100"/>
            </w:tcMar>
          </w:tcPr>
          <w:p>
            <w:r>
              <w:rPr>
                <w:b w:val="false"/>
                <w:bCs w:val="false"/>
                <w:color w:val="1A1A1A"/>
                <w:sz w:val="19"/>
                <w:szCs w:val="19"/>
              </w:rPr>
              <w:t xml:space="preserve">Registros en outbox_consumer_failures</w:t>
            </w:r>
          </w:p>
        </w:tc>
        <w:tc>
          <w:tcPr>
            <w:tcW w:type="dxa" w:w="2100"/>
            <w:shd w:fill="F1EFE8" w:val="clear"/>
            <w:tcMar>
              <w:top w:type="dxa" w:w="80"/>
              <w:left w:type="dxa" w:w="100"/>
              <w:bottom w:type="dxa" w:w="80"/>
              <w:right w:type="dxa" w:w="100"/>
            </w:tcMar>
          </w:tcPr>
          <w:p>
            <w:r>
              <w:rPr>
                <w:b w:val="false"/>
                <w:bCs w:val="false"/>
                <w:color w:val="1A1A1A"/>
                <w:sz w:val="19"/>
                <w:szCs w:val="19"/>
              </w:rPr>
              <w:t xml:space="preserve">Cada 5 min</w:t>
            </w:r>
          </w:p>
        </w:tc>
        <w:tc>
          <w:tcPr>
            <w:tcW w:type="dxa" w:w="3860"/>
            <w:shd w:fill="F1EFE8" w:val="clear"/>
            <w:tcMar>
              <w:top w:type="dxa" w:w="80"/>
              <w:left w:type="dxa" w:w="100"/>
              <w:bottom w:type="dxa" w:w="80"/>
              <w:right w:type="dxa" w:w="100"/>
            </w:tcMar>
          </w:tcPr>
          <w:p>
            <w:r>
              <w:rPr>
                <w:b w:val="false"/>
                <w:bCs w:val="false"/>
                <w:color w:val="1A1A1A"/>
                <w:sz w:val="19"/>
                <w:szCs w:val="19"/>
              </w:rPr>
              <w:t xml:space="preserve">Un evento agotó sus reintentos de un worker de polling</w:t>
            </w:r>
          </w:p>
        </w:tc>
      </w:tr>
      <w:tr>
        <w:trPr>
          <w:cantSplit/>
        </w:trPr>
        <w:tc>
          <w:tcPr>
            <w:tcW w:type="dxa" w:w="500"/>
            <w:shd w:fill="FFFFFF" w:val="clear"/>
            <w:tcMar>
              <w:top w:type="dxa" w:w="80"/>
              <w:left w:type="dxa" w:w="100"/>
              <w:bottom w:type="dxa" w:w="80"/>
              <w:right w:type="dxa" w:w="100"/>
            </w:tcMar>
          </w:tcPr>
          <w:p>
            <w:r>
              <w:rPr>
                <w:b w:val="false"/>
                <w:bCs w:val="false"/>
                <w:color w:val="1A1A1A"/>
                <w:sz w:val="19"/>
                <w:szCs w:val="19"/>
              </w:rPr>
              <w:t xml:space="preserve">2</w:t>
            </w:r>
          </w:p>
        </w:tc>
        <w:tc>
          <w:tcPr>
            <w:tcW w:type="dxa" w:w="2900"/>
            <w:shd w:fill="FFFFFF" w:val="clear"/>
            <w:tcMar>
              <w:top w:type="dxa" w:w="80"/>
              <w:left w:type="dxa" w:w="100"/>
              <w:bottom w:type="dxa" w:w="80"/>
              <w:right w:type="dxa" w:w="100"/>
            </w:tcMar>
          </w:tcPr>
          <w:p>
            <w:r>
              <w:rPr>
                <w:b w:val="false"/>
                <w:bCs w:val="false"/>
                <w:color w:val="1A1A1A"/>
                <w:sz w:val="19"/>
                <w:szCs w:val="19"/>
              </w:rPr>
              <w:t xml:space="preserve">Resultado del job de reconciliación</w:t>
            </w:r>
          </w:p>
        </w:tc>
        <w:tc>
          <w:tcPr>
            <w:tcW w:type="dxa" w:w="2100"/>
            <w:shd w:fill="FFFFFF" w:val="clear"/>
            <w:tcMar>
              <w:top w:type="dxa" w:w="80"/>
              <w:left w:type="dxa" w:w="100"/>
              <w:bottom w:type="dxa" w:w="80"/>
              <w:right w:type="dxa" w:w="100"/>
            </w:tcMar>
          </w:tcPr>
          <w:p>
            <w:r>
              <w:rPr>
                <w:b w:val="false"/>
                <w:bCs w:val="false"/>
                <w:color w:val="1A1A1A"/>
                <w:sz w:val="19"/>
                <w:szCs w:val="19"/>
              </w:rPr>
              <w:t xml:space="preserve">Cada 15 min</w:t>
            </w:r>
          </w:p>
        </w:tc>
        <w:tc>
          <w:tcPr>
            <w:tcW w:type="dxa" w:w="3860"/>
            <w:shd w:fill="FFFFFF" w:val="clear"/>
            <w:tcMar>
              <w:top w:type="dxa" w:w="80"/>
              <w:left w:type="dxa" w:w="100"/>
              <w:bottom w:type="dxa" w:w="80"/>
              <w:right w:type="dxa" w:w="100"/>
            </w:tcMar>
          </w:tcPr>
          <w:p>
            <w:r>
              <w:rPr>
                <w:b w:val="false"/>
                <w:bCs w:val="false"/>
                <w:color w:val="1A1A1A"/>
                <w:sz w:val="19"/>
                <w:szCs w:val="19"/>
              </w:rPr>
              <w:t xml:space="preserve">Un cambio de estatus no tiene su outbox_event</w:t>
            </w:r>
          </w:p>
        </w:tc>
      </w:tr>
      <w:tr>
        <w:trPr>
          <w:cantSplit/>
        </w:trPr>
        <w:tc>
          <w:tcPr>
            <w:tcW w:type="dxa" w:w="500"/>
            <w:shd w:fill="F1EFE8" w:val="clear"/>
            <w:tcMar>
              <w:top w:type="dxa" w:w="80"/>
              <w:left w:type="dxa" w:w="100"/>
              <w:bottom w:type="dxa" w:w="80"/>
              <w:right w:type="dxa" w:w="100"/>
            </w:tcMar>
          </w:tcPr>
          <w:p>
            <w:r>
              <w:rPr>
                <w:b w:val="false"/>
                <w:bCs w:val="false"/>
                <w:color w:val="1A1A1A"/>
                <w:sz w:val="19"/>
                <w:szCs w:val="19"/>
              </w:rPr>
              <w:t xml:space="preserve">3</w:t>
            </w:r>
          </w:p>
        </w:tc>
        <w:tc>
          <w:tcPr>
            <w:tcW w:type="dxa" w:w="2900"/>
            <w:shd w:fill="F1EFE8" w:val="clear"/>
            <w:tcMar>
              <w:top w:type="dxa" w:w="80"/>
              <w:left w:type="dxa" w:w="100"/>
              <w:bottom w:type="dxa" w:w="80"/>
              <w:right w:type="dxa" w:w="100"/>
            </w:tcMar>
          </w:tcPr>
          <w:p>
            <w:r>
              <w:rPr>
                <w:b w:val="false"/>
                <w:bCs w:val="false"/>
                <w:color w:val="1A1A1A"/>
                <w:sz w:val="19"/>
                <w:szCs w:val="19"/>
              </w:rPr>
              <w:t xml:space="preserve">Webhook de entrega faltante</w:t>
            </w:r>
          </w:p>
        </w:tc>
        <w:tc>
          <w:tcPr>
            <w:tcW w:type="dxa" w:w="2100"/>
            <w:shd w:fill="F1EFE8" w:val="clear"/>
            <w:tcMar>
              <w:top w:type="dxa" w:w="80"/>
              <w:left w:type="dxa" w:w="100"/>
              <w:bottom w:type="dxa" w:w="80"/>
              <w:right w:type="dxa" w:w="100"/>
            </w:tcMar>
          </w:tcPr>
          <w:p>
            <w:r>
              <w:rPr>
                <w:b w:val="false"/>
                <w:bCs w:val="false"/>
                <w:color w:val="1A1A1A"/>
                <w:sz w:val="19"/>
                <w:szCs w:val="19"/>
              </w:rPr>
              <w:t xml:space="preserve">Cada 30 min</w:t>
            </w:r>
          </w:p>
        </w:tc>
        <w:tc>
          <w:tcPr>
            <w:tcW w:type="dxa" w:w="3860"/>
            <w:shd w:fill="F1EFE8" w:val="clear"/>
            <w:tcMar>
              <w:top w:type="dxa" w:w="80"/>
              <w:left w:type="dxa" w:w="100"/>
              <w:bottom w:type="dxa" w:w="80"/>
              <w:right w:type="dxa" w:w="100"/>
            </w:tcMar>
          </w:tcPr>
          <w:p>
            <w:r>
              <w:rPr>
                <w:b w:val="false"/>
                <w:bCs w:val="false"/>
                <w:color w:val="1A1A1A"/>
                <w:sz w:val="19"/>
                <w:szCs w:val="19"/>
              </w:rPr>
              <w:t xml:space="preserve">Pedido en Surtido/En tránsito sin actualización tras el umbral</w:t>
            </w:r>
          </w:p>
        </w:tc>
      </w:tr>
      <w:tr>
        <w:trPr>
          <w:cantSplit/>
        </w:trPr>
        <w:tc>
          <w:tcPr>
            <w:tcW w:type="dxa" w:w="500"/>
            <w:shd w:fill="FFFFFF" w:val="clear"/>
            <w:tcMar>
              <w:top w:type="dxa" w:w="80"/>
              <w:left w:type="dxa" w:w="100"/>
              <w:bottom w:type="dxa" w:w="80"/>
              <w:right w:type="dxa" w:w="100"/>
            </w:tcMar>
          </w:tcPr>
          <w:p>
            <w:r>
              <w:rPr>
                <w:b w:val="false"/>
                <w:bCs w:val="false"/>
                <w:color w:val="1A1A1A"/>
                <w:sz w:val="19"/>
                <w:szCs w:val="19"/>
              </w:rPr>
              <w:t xml:space="preserve">4</w:t>
            </w:r>
          </w:p>
        </w:tc>
        <w:tc>
          <w:tcPr>
            <w:tcW w:type="dxa" w:w="2900"/>
            <w:shd w:fill="FFFFFF" w:val="clear"/>
            <w:tcMar>
              <w:top w:type="dxa" w:w="80"/>
              <w:left w:type="dxa" w:w="100"/>
              <w:bottom w:type="dxa" w:w="80"/>
              <w:right w:type="dxa" w:w="100"/>
            </w:tcMar>
          </w:tcPr>
          <w:p>
            <w:r>
              <w:rPr>
                <w:b w:val="false"/>
                <w:bCs w:val="false"/>
                <w:color w:val="1A1A1A"/>
                <w:sz w:val="19"/>
                <w:szCs w:val="19"/>
              </w:rPr>
              <w:t xml:space="preserve">Fallos del Tracking Poller</w:t>
            </w:r>
          </w:p>
        </w:tc>
        <w:tc>
          <w:tcPr>
            <w:tcW w:type="dxa" w:w="2100"/>
            <w:shd w:fill="FFFFFF" w:val="clear"/>
            <w:tcMar>
              <w:top w:type="dxa" w:w="80"/>
              <w:left w:type="dxa" w:w="100"/>
              <w:bottom w:type="dxa" w:w="80"/>
              <w:right w:type="dxa" w:w="100"/>
            </w:tcMar>
          </w:tcPr>
          <w:p>
            <w:r>
              <w:rPr>
                <w:b w:val="false"/>
                <w:bCs w:val="false"/>
                <w:color w:val="1A1A1A"/>
                <w:sz w:val="19"/>
                <w:szCs w:val="19"/>
              </w:rPr>
              <w:t xml:space="preserve">Cada corrida</w:t>
            </w:r>
          </w:p>
        </w:tc>
        <w:tc>
          <w:tcPr>
            <w:tcW w:type="dxa" w:w="3860"/>
            <w:shd w:fill="FFFFFF" w:val="clear"/>
            <w:tcMar>
              <w:top w:type="dxa" w:w="80"/>
              <w:left w:type="dxa" w:w="100"/>
              <w:bottom w:type="dxa" w:w="80"/>
              <w:right w:type="dxa" w:w="100"/>
            </w:tcMar>
          </w:tcPr>
          <w:p>
            <w:r>
              <w:rPr>
                <w:b w:val="false"/>
                <w:bCs w:val="false"/>
                <w:color w:val="1A1A1A"/>
                <w:sz w:val="19"/>
                <w:szCs w:val="19"/>
              </w:rPr>
              <w:t xml:space="preserve">El poller no logra conectar con la API del carrier</w:t>
            </w:r>
          </w:p>
        </w:tc>
      </w:tr>
      <w:tr>
        <w:trPr>
          <w:cantSplit/>
        </w:trPr>
        <w:tc>
          <w:tcPr>
            <w:tcW w:type="dxa" w:w="500"/>
            <w:shd w:fill="F1EFE8" w:val="clear"/>
            <w:tcMar>
              <w:top w:type="dxa" w:w="80"/>
              <w:left w:type="dxa" w:w="100"/>
              <w:bottom w:type="dxa" w:w="80"/>
              <w:right w:type="dxa" w:w="100"/>
            </w:tcMar>
          </w:tcPr>
          <w:p>
            <w:r>
              <w:rPr>
                <w:b w:val="false"/>
                <w:bCs w:val="false"/>
                <w:color w:val="1A1A1A"/>
                <w:sz w:val="19"/>
                <w:szCs w:val="19"/>
              </w:rPr>
              <w:t xml:space="preserve">5</w:t>
            </w:r>
          </w:p>
        </w:tc>
        <w:tc>
          <w:tcPr>
            <w:tcW w:type="dxa" w:w="2900"/>
            <w:shd w:fill="F1EFE8" w:val="clear"/>
            <w:tcMar>
              <w:top w:type="dxa" w:w="80"/>
              <w:left w:type="dxa" w:w="100"/>
              <w:bottom w:type="dxa" w:w="80"/>
              <w:right w:type="dxa" w:w="100"/>
            </w:tcMar>
          </w:tcPr>
          <w:p>
            <w:r>
              <w:rPr>
                <w:b w:val="false"/>
                <w:bCs w:val="false"/>
                <w:color w:val="1A1A1A"/>
                <w:sz w:val="19"/>
                <w:szCs w:val="19"/>
              </w:rPr>
              <w:t xml:space="preserve">Sync de iRoute sin confirmar</w:t>
            </w:r>
          </w:p>
        </w:tc>
        <w:tc>
          <w:tcPr>
            <w:tcW w:type="dxa" w:w="2100"/>
            <w:shd w:fill="F1EFE8" w:val="clear"/>
            <w:tcMar>
              <w:top w:type="dxa" w:w="80"/>
              <w:left w:type="dxa" w:w="100"/>
              <w:bottom w:type="dxa" w:w="80"/>
              <w:right w:type="dxa" w:w="100"/>
            </w:tcMar>
          </w:tcPr>
          <w:p>
            <w:r>
              <w:rPr>
                <w:b w:val="false"/>
                <w:bCs w:val="false"/>
                <w:color w:val="1A1A1A"/>
                <w:sz w:val="19"/>
                <w:szCs w:val="19"/>
              </w:rPr>
              <w:t xml:space="preserve">Cada 30 min</w:t>
            </w:r>
          </w:p>
        </w:tc>
        <w:tc>
          <w:tcPr>
            <w:tcW w:type="dxa" w:w="3860"/>
            <w:shd w:fill="F1EFE8" w:val="clear"/>
            <w:tcMar>
              <w:top w:type="dxa" w:w="80"/>
              <w:left w:type="dxa" w:w="100"/>
              <w:bottom w:type="dxa" w:w="80"/>
              <w:right w:type="dxa" w:w="100"/>
            </w:tcMar>
          </w:tcPr>
          <w:p>
            <w:r>
              <w:rPr>
                <w:b w:val="false"/>
                <w:bCs w:val="false"/>
                <w:color w:val="1A1A1A"/>
                <w:sz w:val="19"/>
                <w:szCs w:val="19"/>
              </w:rPr>
              <w:t xml:space="preserve">sync_irroute_confirmado sigue en false tras el umbral</w:t>
            </w:r>
          </w:p>
        </w:tc>
      </w:tr>
    </w:tbl>
    <w:p>
      <w:pPr>
        <w:pStyle w:val="Heading2"/>
        <w:spacing w:after="150" w:before="300"/>
      </w:pPr>
      <w:r>
        <w:t xml:space="preserve">6.2 Control de duplicados</w:t>
      </w:r>
    </w:p>
    <w:p>
      <w:pPr>
        <w:spacing w:after="160"/>
      </w:pPr>
      <w:r>
        <w:t xml:space="preserve">Antes de crear una alerta, se revisa si ya existe una activa (no resuelta) del mismo tipo y la misma orden. Si existe, se descarta — así el problema no genera una alerta ni un correo nuevo en cada corrida mientras siga sin resolverse.</w:t>
      </w:r>
    </w:p>
    <w:p>
      <w:pPr>
        <w:pStyle w:val="Heading2"/>
        <w:spacing w:after="150" w:before="300"/>
      </w:pPr>
      <w:r>
        <w:t xml:space="preserve">6.3 Aviso pasivo y activo</w:t>
      </w:r>
    </w:p>
    <w:p>
      <w:pPr>
        <w:spacing w:after="160"/>
      </w:pPr>
      <w:r>
        <w:t xml:space="preserve">Torre de Control puede consultar el panel en cualquier momento (GET /api/alerts?resuelto=false), y además recibe un correo electrónico en el momento en que se crea cada alerta nueva. Pendiente de definir: la lista de distribución exacta de esos correos, y si se reutiliza un servidor SMTP corporativo existente o se da de alta uno nuevo (ver sección 11).</w:t>
      </w:r>
    </w:p>
    <w:p>
      <w:pPr>
        <w:pStyle w:val="Heading1"/>
        <w:spacing w:after="200" w:before="400"/>
      </w:pPr>
      <w:r>
        <w:t xml:space="preserve">7. Event bus nativo (sin broker externo)</w:t>
      </w:r>
    </w:p>
    <w:p>
      <w:pPr>
        <w:spacing w:after="160"/>
      </w:pPr>
      <w:r>
        <w:t xml:space="preserve">Por restricción explícita del proyecto, no se utiliza RabbitMQ ni ningún broker de mensajería equivalente. La distribución de eventos hacia los consumidores nuevos se implementa completamente sobre SQL Server y .NET, reutilizando la tabla outbox_events que ya existe por el patrón de outbox transaccional.</w:t>
      </w:r>
    </w:p>
    <w:p>
      <w:pPr>
        <w:spacing w:after="100" w:before="200"/>
        <w:jc w:val="center"/>
      </w:pPr>
      <w:r>
        <w:drawing>
          <wp:inline distT="0" distB="0" distL="0" distR="0">
            <wp:extent cx="5905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438275"/>
                    </a:xfrm>
                    <a:prstGeom prst="rect">
                      <a:avLst/>
                    </a:prstGeom>
                  </pic:spPr>
                </pic:pic>
              </a:graphicData>
            </a:graphic>
          </wp:inline>
        </w:drawing>
      </w:r>
    </w:p>
    <w:p>
      <w:pPr>
        <w:spacing w:after="240"/>
        <w:jc w:val="center"/>
      </w:pPr>
      <w:r>
        <w:rPr>
          <w:i/>
          <w:iCs/>
          <w:color w:val="5F5E5A"/>
          <w:sz w:val="19"/>
          <w:szCs w:val="19"/>
        </w:rPr>
        <w:t xml:space="preserve">Figura 7. Cada consumidor consulta outbox_events de forma independiente, con su propio checkpoint.</w:t>
      </w:r>
    </w:p>
    <w:p>
      <w:pPr>
        <w:pStyle w:val="Heading2"/>
        <w:spacing w:after="150" w:before="300"/>
      </w:pPr>
      <w:r>
        <w:t xml:space="preserve">7.1 Mecanismo</w:t>
      </w:r>
    </w:p>
    <w:p>
      <w:pPr>
        <w:spacing w:after="160"/>
      </w:pPr>
      <w:r>
        <w:t xml:space="preserve">Cada consumidor (iRoute Sync, Notification, Pipeline Merch, USICOAL Central) es su propio BackgroundService dentro del mismo proceso de la GNC API. Cada uno consulta outbox_events por su cuenta, filtrando por los eventos más nuevos que su propio checkpoint, los procesa en orden, y solo avanza su checkpoint si el procesamiento tuvo éxito. Es el mismo principio de los “consumer groups” de Kafka, implementado a mano con una tabla de SQL Server.</w:t>
      </w:r>
    </w:p>
    <w:p>
      <w:pPr>
        <w:pStyle w:val="Heading2"/>
        <w:spacing w:after="150" w:before="300"/>
      </w:pPr>
      <w:r>
        <w:t xml:space="preserve">7.2 Esquema adicional en GNC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534AB7" w:val="clear"/>
            <w:tcMar>
              <w:top w:type="dxa" w:w="80"/>
              <w:left w:type="dxa" w:w="100"/>
              <w:bottom w:type="dxa" w:w="80"/>
              <w:right w:type="dxa" w:w="100"/>
            </w:tcMar>
          </w:tcPr>
          <w:p>
            <w:r>
              <w:rPr>
                <w:b/>
                <w:bCs/>
                <w:color w:val="FFFFFF"/>
                <w:sz w:val="19"/>
                <w:szCs w:val="19"/>
              </w:rPr>
              <w:t xml:space="preserve">Tabla / columna</w:t>
            </w:r>
          </w:p>
        </w:tc>
        <w:tc>
          <w:tcPr>
            <w:tcW w:type="dxa" w:w="6160"/>
            <w:shd w:fill="534AB7" w:val="clear"/>
            <w:tcMar>
              <w:top w:type="dxa" w:w="80"/>
              <w:left w:type="dxa" w:w="100"/>
              <w:bottom w:type="dxa" w:w="80"/>
              <w:right w:type="dxa" w:w="100"/>
            </w:tcMar>
          </w:tcPr>
          <w:p>
            <w:r>
              <w:rPr>
                <w:b/>
                <w:bCs/>
                <w:color w:val="FFFFFF"/>
                <w:sz w:val="19"/>
                <w:szCs w:val="19"/>
              </w:rPr>
              <w:t xml:space="preserve">Propósito</w:t>
            </w:r>
          </w:p>
        </w:tc>
      </w:tr>
      <w:tr>
        <w:trPr>
          <w:cantSplit/>
        </w:trPr>
        <w:tc>
          <w:tcPr>
            <w:tcW w:type="dxa" w:w="3200"/>
            <w:shd w:fill="F1EFE8" w:val="clear"/>
            <w:tcMar>
              <w:top w:type="dxa" w:w="80"/>
              <w:left w:type="dxa" w:w="100"/>
              <w:bottom w:type="dxa" w:w="80"/>
              <w:right w:type="dxa" w:w="100"/>
            </w:tcMar>
          </w:tcPr>
          <w:p>
            <w:r>
              <w:rPr>
                <w:b w:val="false"/>
                <w:bCs w:val="false"/>
                <w:color w:val="1A1A1A"/>
                <w:sz w:val="19"/>
                <w:szCs w:val="19"/>
              </w:rPr>
              <w:t xml:space="preserve">outbox_events.seq (BIGINT IDENTITY)</w:t>
            </w:r>
          </w:p>
        </w:tc>
        <w:tc>
          <w:tcPr>
            <w:tcW w:type="dxa" w:w="6160"/>
            <w:shd w:fill="F1EFE8" w:val="clear"/>
            <w:tcMar>
              <w:top w:type="dxa" w:w="80"/>
              <w:left w:type="dxa" w:w="100"/>
              <w:bottom w:type="dxa" w:w="80"/>
              <w:right w:type="dxa" w:w="100"/>
            </w:tcMar>
          </w:tcPr>
          <w:p>
            <w:r>
              <w:rPr>
                <w:b w:val="false"/>
                <w:bCs w:val="false"/>
                <w:color w:val="1A1A1A"/>
                <w:sz w:val="19"/>
                <w:szCs w:val="19"/>
              </w:rPr>
              <w:t xml:space="preserve">Columna secuencial para que cada consumidor sepa qué es más nuevo que lo último que procesó</w:t>
            </w:r>
          </w:p>
        </w:tc>
      </w:tr>
      <w:tr>
        <w:trPr>
          <w:cantSplit/>
        </w:trPr>
        <w:tc>
          <w:tcPr>
            <w:tcW w:type="dxa" w:w="3200"/>
            <w:shd w:fill="FFFFFF" w:val="clear"/>
            <w:tcMar>
              <w:top w:type="dxa" w:w="80"/>
              <w:left w:type="dxa" w:w="100"/>
              <w:bottom w:type="dxa" w:w="80"/>
              <w:right w:type="dxa" w:w="100"/>
            </w:tcMar>
          </w:tcPr>
          <w:p>
            <w:r>
              <w:rPr>
                <w:b w:val="false"/>
                <w:bCs w:val="false"/>
                <w:color w:val="1A1A1A"/>
                <w:sz w:val="19"/>
                <w:szCs w:val="19"/>
              </w:rPr>
              <w:t xml:space="preserve">outbox_consumer_checkpoint</w:t>
            </w:r>
          </w:p>
        </w:tc>
        <w:tc>
          <w:tcPr>
            <w:tcW w:type="dxa" w:w="6160"/>
            <w:shd w:fill="FFFFFF" w:val="clear"/>
            <w:tcMar>
              <w:top w:type="dxa" w:w="80"/>
              <w:left w:type="dxa" w:w="100"/>
              <w:bottom w:type="dxa" w:w="80"/>
              <w:right w:type="dxa" w:w="100"/>
            </w:tcMar>
          </w:tcPr>
          <w:p>
            <w:r>
              <w:rPr>
                <w:b w:val="false"/>
                <w:bCs w:val="false"/>
                <w:color w:val="1A1A1A"/>
                <w:sz w:val="19"/>
                <w:szCs w:val="19"/>
              </w:rPr>
              <w:t xml:space="preserve">Una fila por consumidor: hasta qué seq ya procesó</w:t>
            </w:r>
          </w:p>
        </w:tc>
      </w:tr>
      <w:tr>
        <w:trPr>
          <w:cantSplit/>
        </w:trPr>
        <w:tc>
          <w:tcPr>
            <w:tcW w:type="dxa" w:w="3200"/>
            <w:shd w:fill="F1EFE8" w:val="clear"/>
            <w:tcMar>
              <w:top w:type="dxa" w:w="80"/>
              <w:left w:type="dxa" w:w="100"/>
              <w:bottom w:type="dxa" w:w="80"/>
              <w:right w:type="dxa" w:w="100"/>
            </w:tcMar>
          </w:tcPr>
          <w:p>
            <w:r>
              <w:rPr>
                <w:b w:val="false"/>
                <w:bCs w:val="false"/>
                <w:color w:val="1A1A1A"/>
                <w:sz w:val="19"/>
                <w:szCs w:val="19"/>
              </w:rPr>
              <w:t xml:space="preserve">outbox_consumer_failures</w:t>
            </w:r>
          </w:p>
        </w:tc>
        <w:tc>
          <w:tcPr>
            <w:tcW w:type="dxa" w:w="6160"/>
            <w:shd w:fill="F1EFE8" w:val="clear"/>
            <w:tcMar>
              <w:top w:type="dxa" w:w="80"/>
              <w:left w:type="dxa" w:w="100"/>
              <w:bottom w:type="dxa" w:w="80"/>
              <w:right w:type="dxa" w:w="100"/>
            </w:tcMar>
          </w:tcPr>
          <w:p>
            <w:r>
              <w:rPr>
                <w:b w:val="false"/>
                <w:bCs w:val="false"/>
                <w:color w:val="1A1A1A"/>
                <w:sz w:val="19"/>
                <w:szCs w:val="19"/>
              </w:rPr>
              <w:t xml:space="preserve">Reemplaza al dead-letter queue: eventos que un consumidor no logró procesar tras varios intentos</w:t>
            </w:r>
          </w:p>
        </w:tc>
      </w:tr>
    </w:tbl>
    <w:p>
      <w:pPr>
        <w:pStyle w:val="Heading2"/>
        <w:spacing w:after="150" w:before="300"/>
      </w:pPr>
      <w:r>
        <w:t xml:space="preserve">7.3 Trade-offs frente a un broker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rPr>
          <w:cantSplit/>
          <w:tblHeader/>
        </w:trPr>
        <w:tc>
          <w:tcPr>
            <w:tcW w:type="dxa" w:w="1800"/>
            <w:shd w:fill="534AB7" w:val="clear"/>
            <w:tcMar>
              <w:top w:type="dxa" w:w="80"/>
              <w:left w:type="dxa" w:w="100"/>
              <w:bottom w:type="dxa" w:w="80"/>
              <w:right w:type="dxa" w:w="100"/>
            </w:tcMar>
          </w:tcPr>
          <w:p>
            <w:r>
              <w:rPr>
                <w:b/>
                <w:bCs/>
                <w:color w:val="FFFFFF"/>
                <w:sz w:val="19"/>
                <w:szCs w:val="19"/>
              </w:rPr>
              <w:t xml:space="preserve"/>
            </w:r>
          </w:p>
        </w:tc>
        <w:tc>
          <w:tcPr>
            <w:tcW w:type="dxa" w:w="3680"/>
            <w:shd w:fill="534AB7" w:val="clear"/>
            <w:tcMar>
              <w:top w:type="dxa" w:w="80"/>
              <w:left w:type="dxa" w:w="100"/>
              <w:bottom w:type="dxa" w:w="80"/>
              <w:right w:type="dxa" w:w="100"/>
            </w:tcMar>
          </w:tcPr>
          <w:p>
            <w:r>
              <w:rPr>
                <w:b/>
                <w:bCs/>
                <w:color w:val="FFFFFF"/>
                <w:sz w:val="19"/>
                <w:szCs w:val="19"/>
              </w:rPr>
              <w:t xml:space="preserve">Broker externo (RabbitMQ)</w:t>
            </w:r>
          </w:p>
        </w:tc>
        <w:tc>
          <w:tcPr>
            <w:tcW w:type="dxa" w:w="3880"/>
            <w:shd w:fill="534AB7" w:val="clear"/>
            <w:tcMar>
              <w:top w:type="dxa" w:w="80"/>
              <w:left w:type="dxa" w:w="100"/>
              <w:bottom w:type="dxa" w:w="80"/>
              <w:right w:type="dxa" w:w="100"/>
            </w:tcMar>
          </w:tcPr>
          <w:p>
            <w:r>
              <w:rPr>
                <w:b/>
                <w:bCs/>
                <w:color w:val="FFFFFF"/>
                <w:sz w:val="19"/>
                <w:szCs w:val="19"/>
              </w:rPr>
              <w:t xml:space="preserve">Polling con checkpoint (adoptado)</w:t>
            </w:r>
          </w:p>
        </w:tc>
      </w:tr>
      <w:tr>
        <w:trPr>
          <w:cantSplit/>
        </w:trPr>
        <w:tc>
          <w:tcPr>
            <w:tcW w:type="dxa" w:w="1800"/>
            <w:shd w:fill="F1EFE8" w:val="clear"/>
            <w:tcMar>
              <w:top w:type="dxa" w:w="80"/>
              <w:left w:type="dxa" w:w="100"/>
              <w:bottom w:type="dxa" w:w="80"/>
              <w:right w:type="dxa" w:w="100"/>
            </w:tcMar>
          </w:tcPr>
          <w:p>
            <w:r>
              <w:rPr>
                <w:b w:val="false"/>
                <w:bCs w:val="false"/>
                <w:color w:val="1A1A1A"/>
                <w:sz w:val="19"/>
                <w:szCs w:val="19"/>
              </w:rPr>
              <w:t xml:space="preserve">Latencia</w:t>
            </w:r>
          </w:p>
        </w:tc>
        <w:tc>
          <w:tcPr>
            <w:tcW w:type="dxa" w:w="3680"/>
            <w:shd w:fill="F1EFE8" w:val="clear"/>
            <w:tcMar>
              <w:top w:type="dxa" w:w="80"/>
              <w:left w:type="dxa" w:w="100"/>
              <w:bottom w:type="dxa" w:w="80"/>
              <w:right w:type="dxa" w:w="100"/>
            </w:tcMar>
          </w:tcPr>
          <w:p>
            <w:r>
              <w:rPr>
                <w:b w:val="false"/>
                <w:bCs w:val="false"/>
                <w:color w:val="1A1A1A"/>
                <w:sz w:val="19"/>
                <w:szCs w:val="19"/>
              </w:rPr>
              <w:t xml:space="preserve">Instantánea (push)</w:t>
            </w:r>
          </w:p>
        </w:tc>
        <w:tc>
          <w:tcPr>
            <w:tcW w:type="dxa" w:w="3880"/>
            <w:shd w:fill="F1EFE8" w:val="clear"/>
            <w:tcMar>
              <w:top w:type="dxa" w:w="80"/>
              <w:left w:type="dxa" w:w="100"/>
              <w:bottom w:type="dxa" w:w="80"/>
              <w:right w:type="dxa" w:w="100"/>
            </w:tcMar>
          </w:tcPr>
          <w:p>
            <w:r>
              <w:rPr>
                <w:b w:val="false"/>
                <w:bCs w:val="false"/>
                <w:color w:val="1A1A1A"/>
                <w:sz w:val="19"/>
                <w:szCs w:val="19"/>
              </w:rPr>
              <w:t xml:space="preserve">Unos segundos (intervalo del polling)</w:t>
            </w:r>
          </w:p>
        </w:tc>
      </w:tr>
      <w:tr>
        <w:trPr>
          <w:cantSplit/>
        </w:trPr>
        <w:tc>
          <w:tcPr>
            <w:tcW w:type="dxa" w:w="1800"/>
            <w:shd w:fill="FFFFFF" w:val="clear"/>
            <w:tcMar>
              <w:top w:type="dxa" w:w="80"/>
              <w:left w:type="dxa" w:w="100"/>
              <w:bottom w:type="dxa" w:w="80"/>
              <w:right w:type="dxa" w:w="100"/>
            </w:tcMar>
          </w:tcPr>
          <w:p>
            <w:r>
              <w:rPr>
                <w:b w:val="false"/>
                <w:bCs w:val="false"/>
                <w:color w:val="1A1A1A"/>
                <w:sz w:val="19"/>
                <w:szCs w:val="19"/>
              </w:rPr>
              <w:t xml:space="preserve">Infraestructura nueva</w:t>
            </w:r>
          </w:p>
        </w:tc>
        <w:tc>
          <w:tcPr>
            <w:tcW w:type="dxa" w:w="3680"/>
            <w:shd w:fill="FFFFFF" w:val="clear"/>
            <w:tcMar>
              <w:top w:type="dxa" w:w="80"/>
              <w:left w:type="dxa" w:w="100"/>
              <w:bottom w:type="dxa" w:w="80"/>
              <w:right w:type="dxa" w:w="100"/>
            </w:tcMar>
          </w:tcPr>
          <w:p>
            <w:r>
              <w:rPr>
                <w:b w:val="false"/>
                <w:bCs w:val="false"/>
                <w:color w:val="1A1A1A"/>
                <w:sz w:val="19"/>
                <w:szCs w:val="19"/>
              </w:rPr>
              <w:t xml:space="preserve">Sí — requiere instalar y mantener el broker</w:t>
            </w:r>
          </w:p>
        </w:tc>
        <w:tc>
          <w:tcPr>
            <w:tcW w:type="dxa" w:w="3880"/>
            <w:shd w:fill="FFFFFF" w:val="clear"/>
            <w:tcMar>
              <w:top w:type="dxa" w:w="80"/>
              <w:left w:type="dxa" w:w="100"/>
              <w:bottom w:type="dxa" w:w="80"/>
              <w:right w:type="dxa" w:w="100"/>
            </w:tcMar>
          </w:tcPr>
          <w:p>
            <w:r>
              <w:rPr>
                <w:b w:val="false"/>
                <w:bCs w:val="false"/>
                <w:color w:val="1A1A1A"/>
                <w:sz w:val="19"/>
                <w:szCs w:val="19"/>
              </w:rPr>
              <w:t xml:space="preserve">Ninguna — ya tienen SQL Server</w:t>
            </w:r>
          </w:p>
        </w:tc>
      </w:tr>
      <w:tr>
        <w:trPr>
          <w:cantSplit/>
        </w:trPr>
        <w:tc>
          <w:tcPr>
            <w:tcW w:type="dxa" w:w="1800"/>
            <w:shd w:fill="F1EFE8" w:val="clear"/>
            <w:tcMar>
              <w:top w:type="dxa" w:w="80"/>
              <w:left w:type="dxa" w:w="100"/>
              <w:bottom w:type="dxa" w:w="80"/>
              <w:right w:type="dxa" w:w="100"/>
            </w:tcMar>
          </w:tcPr>
          <w:p>
            <w:r>
              <w:rPr>
                <w:b w:val="false"/>
                <w:bCs w:val="false"/>
                <w:color w:val="1A1A1A"/>
                <w:sz w:val="19"/>
                <w:szCs w:val="19"/>
              </w:rPr>
              <w:t xml:space="preserve">Curva de aprendizaje</w:t>
            </w:r>
          </w:p>
        </w:tc>
        <w:tc>
          <w:tcPr>
            <w:tcW w:type="dxa" w:w="3680"/>
            <w:shd w:fill="F1EFE8" w:val="clear"/>
            <w:tcMar>
              <w:top w:type="dxa" w:w="80"/>
              <w:left w:type="dxa" w:w="100"/>
              <w:bottom w:type="dxa" w:w="80"/>
              <w:right w:type="dxa" w:w="100"/>
            </w:tcMar>
          </w:tcPr>
          <w:p>
            <w:r>
              <w:rPr>
                <w:b w:val="false"/>
                <w:bCs w:val="false"/>
                <w:color w:val="1A1A1A"/>
                <w:sz w:val="19"/>
                <w:szCs w:val="19"/>
              </w:rPr>
              <w:t xml:space="preserve">Nueva para el equipo</w:t>
            </w:r>
          </w:p>
        </w:tc>
        <w:tc>
          <w:tcPr>
            <w:tcW w:type="dxa" w:w="3880"/>
            <w:shd w:fill="F1EFE8" w:val="clear"/>
            <w:tcMar>
              <w:top w:type="dxa" w:w="80"/>
              <w:left w:type="dxa" w:w="100"/>
              <w:bottom w:type="dxa" w:w="80"/>
              <w:right w:type="dxa" w:w="100"/>
            </w:tcMar>
          </w:tcPr>
          <w:p>
            <w:r>
              <w:rPr>
                <w:b w:val="false"/>
                <w:bCs w:val="false"/>
                <w:color w:val="1A1A1A"/>
                <w:sz w:val="19"/>
                <w:szCs w:val="19"/>
              </w:rPr>
              <w:t xml:space="preserve">Ninguna — es SQL + C# que ya conocen</w:t>
            </w:r>
          </w:p>
        </w:tc>
      </w:tr>
      <w:tr>
        <w:trPr>
          <w:cantSplit/>
        </w:trPr>
        <w:tc>
          <w:tcPr>
            <w:tcW w:type="dxa" w:w="1800"/>
            <w:shd w:fill="FFFFFF" w:val="clear"/>
            <w:tcMar>
              <w:top w:type="dxa" w:w="80"/>
              <w:left w:type="dxa" w:w="100"/>
              <w:bottom w:type="dxa" w:w="80"/>
              <w:right w:type="dxa" w:w="100"/>
            </w:tcMar>
          </w:tcPr>
          <w:p>
            <w:r>
              <w:rPr>
                <w:b w:val="false"/>
                <w:bCs w:val="false"/>
                <w:color w:val="1A1A1A"/>
                <w:sz w:val="19"/>
                <w:szCs w:val="19"/>
              </w:rPr>
              <w:t xml:space="preserve">Reintentos y dead-letter</w:t>
            </w:r>
          </w:p>
        </w:tc>
        <w:tc>
          <w:tcPr>
            <w:tcW w:type="dxa" w:w="3680"/>
            <w:shd w:fill="FFFFFF" w:val="clear"/>
            <w:tcMar>
              <w:top w:type="dxa" w:w="80"/>
              <w:left w:type="dxa" w:w="100"/>
              <w:bottom w:type="dxa" w:w="80"/>
              <w:right w:type="dxa" w:w="100"/>
            </w:tcMar>
          </w:tcPr>
          <w:p>
            <w:r>
              <w:rPr>
                <w:b w:val="false"/>
                <w:bCs w:val="false"/>
                <w:color w:val="1A1A1A"/>
                <w:sz w:val="19"/>
                <w:szCs w:val="19"/>
              </w:rPr>
              <w:t xml:space="preserve">Automáticos, del framework</w:t>
            </w:r>
          </w:p>
        </w:tc>
        <w:tc>
          <w:tcPr>
            <w:tcW w:type="dxa" w:w="3880"/>
            <w:shd w:fill="FFFFFF" w:val="clear"/>
            <w:tcMar>
              <w:top w:type="dxa" w:w="80"/>
              <w:left w:type="dxa" w:w="100"/>
              <w:bottom w:type="dxa" w:w="80"/>
              <w:right w:type="dxa" w:w="100"/>
            </w:tcMar>
          </w:tcPr>
          <w:p>
            <w:r>
              <w:rPr>
                <w:b w:val="false"/>
                <w:bCs w:val="false"/>
                <w:color w:val="1A1A1A"/>
                <w:sz w:val="19"/>
                <w:szCs w:val="19"/>
              </w:rPr>
              <w:t xml:space="preserve">Se implementan a mano (ver 7.2), pero con el mismo resultado</w:t>
            </w:r>
          </w:p>
        </w:tc>
      </w:tr>
    </w:tbl>
    <w:p>
      <w:pPr>
        <w:spacing w:after="160"/>
      </w:pPr>
      <w:r>
        <w:t xml:space="preserve">Para el volumen de pedidos de este proyecto, la latencia de unos segundos no representa un problema real — es la misma latencia ya aceptada para el Tracking Poller Job de los carriers sin webhook.</w:t>
      </w:r>
    </w:p>
    <w:p>
      <w:pPr>
        <w:pStyle w:val="Heading1"/>
        <w:spacing w:after="200" w:before="400"/>
      </w:pPr>
      <w:r>
        <w:t xml:space="preserve">8. Componentes nuevos / candidatos a microservicio</w:t>
      </w:r>
    </w:p>
    <w:p>
      <w:pPr>
        <w:spacing w:after="160"/>
      </w:pPr>
      <w:r>
        <w:t xml:space="preserve">Se evaluó qué responsabilidades tiene sentido extraer como microservicio, usando como criterio: que sea una responsabilidad nueva, con límite claro, que no requiera compartir base de datos con el legado, y que no obligue a los sistemas legado a cambiar su forma de trabajar. Todos viven hoy dentro del mismo proceso de la GNC API como BackgroundServices; separarlos en despliegues propios queda como optimización futura si el volumen lo justifica.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660"/>
      </w:tblGrid>
      <w:tr>
        <w:trPr>
          <w:cantSplit/>
          <w:tblHeader/>
        </w:trPr>
        <w:tc>
          <w:tcPr>
            <w:tcW w:type="dxa" w:w="2600"/>
            <w:shd w:fill="534AB7" w:val="clear"/>
            <w:tcMar>
              <w:top w:type="dxa" w:w="80"/>
              <w:left w:type="dxa" w:w="100"/>
              <w:bottom w:type="dxa" w:w="80"/>
              <w:right w:type="dxa" w:w="100"/>
            </w:tcMar>
          </w:tcPr>
          <w:p>
            <w:r>
              <w:rPr>
                <w:b/>
                <w:bCs/>
                <w:color w:val="FFFFFF"/>
                <w:sz w:val="19"/>
                <w:szCs w:val="19"/>
              </w:rPr>
              <w:t xml:space="preserve">Componente</w:t>
            </w:r>
          </w:p>
        </w:tc>
        <w:tc>
          <w:tcPr>
            <w:tcW w:type="dxa" w:w="5100"/>
            <w:shd w:fill="534AB7" w:val="clear"/>
            <w:tcMar>
              <w:top w:type="dxa" w:w="80"/>
              <w:left w:type="dxa" w:w="100"/>
              <w:bottom w:type="dxa" w:w="80"/>
              <w:right w:type="dxa" w:w="100"/>
            </w:tcMar>
          </w:tcPr>
          <w:p>
            <w:r>
              <w:rPr>
                <w:b/>
                <w:bCs/>
                <w:color w:val="FFFFFF"/>
                <w:sz w:val="19"/>
                <w:szCs w:val="19"/>
              </w:rPr>
              <w:t xml:space="preserve">Responsabilidad</w:t>
            </w:r>
          </w:p>
        </w:tc>
        <w:tc>
          <w:tcPr>
            <w:tcW w:type="dxa" w:w="1660"/>
            <w:shd w:fill="534AB7" w:val="clear"/>
            <w:tcMar>
              <w:top w:type="dxa" w:w="80"/>
              <w:left w:type="dxa" w:w="100"/>
              <w:bottom w:type="dxa" w:w="80"/>
              <w:right w:type="dxa" w:w="100"/>
            </w:tcMar>
          </w:tcPr>
          <w:p>
            <w:r>
              <w:rPr>
                <w:b/>
                <w:bCs/>
                <w:color w:val="FFFFFF"/>
                <w:sz w:val="19"/>
                <w:szCs w:val="19"/>
              </w:rPr>
              <w:t xml:space="preserve">Dispara sobre</w:t>
            </w:r>
          </w:p>
        </w:tc>
      </w:tr>
      <w:tr>
        <w:trPr>
          <w:cantSplit/>
        </w:trPr>
        <w:tc>
          <w:tcPr>
            <w:tcW w:type="dxa" w:w="2600"/>
            <w:shd w:fill="F1EFE8" w:val="clear"/>
            <w:tcMar>
              <w:top w:type="dxa" w:w="80"/>
              <w:left w:type="dxa" w:w="100"/>
              <w:bottom w:type="dxa" w:w="80"/>
              <w:right w:type="dxa" w:w="100"/>
            </w:tcMar>
          </w:tcPr>
          <w:p>
            <w:r>
              <w:rPr>
                <w:b w:val="false"/>
                <w:bCs w:val="false"/>
                <w:color w:val="1A1A1A"/>
                <w:sz w:val="19"/>
                <w:szCs w:val="19"/>
              </w:rPr>
              <w:t xml:space="preserve">Webhook Receiver Service</w:t>
            </w:r>
          </w:p>
        </w:tc>
        <w:tc>
          <w:tcPr>
            <w:tcW w:type="dxa" w:w="5100"/>
            <w:shd w:fill="F1EFE8" w:val="clear"/>
            <w:tcMar>
              <w:top w:type="dxa" w:w="80"/>
              <w:left w:type="dxa" w:w="100"/>
              <w:bottom w:type="dxa" w:w="80"/>
              <w:right w:type="dxa" w:w="100"/>
            </w:tcMar>
          </w:tcPr>
          <w:p>
            <w:r>
              <w:rPr>
                <w:b w:val="false"/>
                <w:bCs w:val="false"/>
                <w:color w:val="1A1A1A"/>
                <w:sz w:val="19"/>
                <w:szCs w:val="19"/>
              </w:rPr>
              <w:t xml:space="preserve">Recibe webhooks de carriers, valida firma e idempotencia, persiste vía GNC API.</w:t>
            </w:r>
          </w:p>
        </w:tc>
        <w:tc>
          <w:tcPr>
            <w:tcW w:type="dxa" w:w="1660"/>
            <w:shd w:fill="F1EFE8" w:val="clear"/>
            <w:tcMar>
              <w:top w:type="dxa" w:w="80"/>
              <w:left w:type="dxa" w:w="100"/>
              <w:bottom w:type="dxa" w:w="80"/>
              <w:right w:type="dxa" w:w="100"/>
            </w:tcMar>
          </w:tcPr>
          <w:p>
            <w:r>
              <w:rPr>
                <w:b w:val="false"/>
                <w:bCs w:val="false"/>
                <w:color w:val="1A1A1A"/>
                <w:sz w:val="19"/>
                <w:szCs w:val="19"/>
              </w:rPr>
              <w:t xml:space="preserve">Evento del carrier</w:t>
            </w:r>
          </w:p>
        </w:tc>
      </w:tr>
      <w:tr>
        <w:trPr>
          <w:cantSplit/>
        </w:trPr>
        <w:tc>
          <w:tcPr>
            <w:tcW w:type="dxa" w:w="2600"/>
            <w:shd w:fill="FFFFFF" w:val="clear"/>
            <w:tcMar>
              <w:top w:type="dxa" w:w="80"/>
              <w:left w:type="dxa" w:w="100"/>
              <w:bottom w:type="dxa" w:w="80"/>
              <w:right w:type="dxa" w:w="100"/>
            </w:tcMar>
          </w:tcPr>
          <w:p>
            <w:r>
              <w:rPr>
                <w:b w:val="false"/>
                <w:bCs w:val="false"/>
                <w:color w:val="1A1A1A"/>
                <w:sz w:val="19"/>
                <w:szCs w:val="19"/>
              </w:rPr>
              <w:t xml:space="preserve">Tracking Poller Job</w:t>
            </w:r>
          </w:p>
        </w:tc>
        <w:tc>
          <w:tcPr>
            <w:tcW w:type="dxa" w:w="5100"/>
            <w:shd w:fill="FFFFFF" w:val="clear"/>
            <w:tcMar>
              <w:top w:type="dxa" w:w="80"/>
              <w:left w:type="dxa" w:w="100"/>
              <w:bottom w:type="dxa" w:w="80"/>
              <w:right w:type="dxa" w:w="100"/>
            </w:tcMar>
          </w:tcPr>
          <w:p>
            <w:r>
              <w:rPr>
                <w:b w:val="false"/>
                <w:bCs w:val="false"/>
                <w:color w:val="1A1A1A"/>
                <w:sz w:val="19"/>
                <w:szCs w:val="19"/>
              </w:rPr>
              <w:t xml:space="preserve">Consulta periódicamente la API de carriers sin soporte de webhook.</w:t>
            </w:r>
          </w:p>
        </w:tc>
        <w:tc>
          <w:tcPr>
            <w:tcW w:type="dxa" w:w="1660"/>
            <w:shd w:fill="FFFFFF" w:val="clear"/>
            <w:tcMar>
              <w:top w:type="dxa" w:w="80"/>
              <w:left w:type="dxa" w:w="100"/>
              <w:bottom w:type="dxa" w:w="80"/>
              <w:right w:type="dxa" w:w="100"/>
            </w:tcMar>
          </w:tcPr>
          <w:p>
            <w:r>
              <w:rPr>
                <w:b w:val="false"/>
                <w:bCs w:val="false"/>
                <w:color w:val="1A1A1A"/>
                <w:sz w:val="19"/>
                <w:szCs w:val="19"/>
              </w:rPr>
              <w:t xml:space="preserve">Programado (cron)</w:t>
            </w:r>
          </w:p>
        </w:tc>
      </w:tr>
      <w:tr>
        <w:trPr>
          <w:cantSplit/>
        </w:trPr>
        <w:tc>
          <w:tcPr>
            <w:tcW w:type="dxa" w:w="2600"/>
            <w:shd w:fill="F1EFE8" w:val="clear"/>
            <w:tcMar>
              <w:top w:type="dxa" w:w="80"/>
              <w:left w:type="dxa" w:w="100"/>
              <w:bottom w:type="dxa" w:w="80"/>
              <w:right w:type="dxa" w:w="100"/>
            </w:tcMar>
          </w:tcPr>
          <w:p>
            <w:r>
              <w:rPr>
                <w:b w:val="false"/>
                <w:bCs w:val="false"/>
                <w:color w:val="1A1A1A"/>
                <w:sz w:val="19"/>
                <w:szCs w:val="19"/>
              </w:rPr>
              <w:t xml:space="preserve">Endpoints de la GNC API</w:t>
            </w:r>
          </w:p>
        </w:tc>
        <w:tc>
          <w:tcPr>
            <w:tcW w:type="dxa" w:w="5100"/>
            <w:shd w:fill="F1EFE8" w:val="clear"/>
            <w:tcMar>
              <w:top w:type="dxa" w:w="80"/>
              <w:left w:type="dxa" w:w="100"/>
              <w:bottom w:type="dxa" w:w="80"/>
              <w:right w:type="dxa" w:w="100"/>
            </w:tcMar>
          </w:tcPr>
          <w:p>
            <w:r>
              <w:rPr>
                <w:b w:val="false"/>
                <w:bCs w:val="false"/>
                <w:color w:val="1A1A1A"/>
                <w:sz w:val="19"/>
                <w:szCs w:val="19"/>
              </w:rPr>
              <w:t xml:space="preserve">Valida transiciones, persiste en la bitácora y escribe en el outbox.</w:t>
            </w:r>
          </w:p>
        </w:tc>
        <w:tc>
          <w:tcPr>
            <w:tcW w:type="dxa" w:w="1660"/>
            <w:shd w:fill="F1EFE8" w:val="clear"/>
            <w:tcMar>
              <w:top w:type="dxa" w:w="80"/>
              <w:left w:type="dxa" w:w="100"/>
              <w:bottom w:type="dxa" w:w="80"/>
              <w:right w:type="dxa" w:w="100"/>
            </w:tcMar>
          </w:tcPr>
          <w:p>
            <w:r>
              <w:rPr>
                <w:b w:val="false"/>
                <w:bCs w:val="false"/>
                <w:color w:val="1A1A1A"/>
                <w:sz w:val="19"/>
                <w:szCs w:val="19"/>
              </w:rPr>
              <w:t xml:space="preserve">Cualquier cambio de estatus</w:t>
            </w:r>
          </w:p>
        </w:tc>
      </w:tr>
      <w:tr>
        <w:trPr>
          <w:cantSplit/>
        </w:trPr>
        <w:tc>
          <w:tcPr>
            <w:tcW w:type="dxa" w:w="2600"/>
            <w:shd w:fill="FFFFFF" w:val="clear"/>
            <w:tcMar>
              <w:top w:type="dxa" w:w="80"/>
              <w:left w:type="dxa" w:w="100"/>
              <w:bottom w:type="dxa" w:w="80"/>
              <w:right w:type="dxa" w:w="100"/>
            </w:tcMar>
          </w:tcPr>
          <w:p>
            <w:r>
              <w:rPr>
                <w:b w:val="false"/>
                <w:bCs w:val="false"/>
                <w:color w:val="1A1A1A"/>
                <w:sz w:val="19"/>
                <w:szCs w:val="19"/>
              </w:rPr>
              <w:t xml:space="preserve">iRoute Sync Worker</w:t>
            </w:r>
          </w:p>
        </w:tc>
        <w:tc>
          <w:tcPr>
            <w:tcW w:type="dxa" w:w="5100"/>
            <w:shd w:fill="FFFFFF" w:val="clear"/>
            <w:tcMar>
              <w:top w:type="dxa" w:w="80"/>
              <w:left w:type="dxa" w:w="100"/>
              <w:bottom w:type="dxa" w:w="80"/>
              <w:right w:type="dxa" w:w="100"/>
            </w:tcMar>
          </w:tcPr>
          <w:p>
            <w:r>
              <w:rPr>
                <w:b w:val="false"/>
                <w:bCs w:val="false"/>
                <w:color w:val="1A1A1A"/>
                <w:sz w:val="19"/>
                <w:szCs w:val="19"/>
              </w:rPr>
              <w:t xml:space="preserve">Sincroniza a iRoute los estatus posteriores a Surtido (ej. Entregado).</w:t>
            </w:r>
          </w:p>
        </w:tc>
        <w:tc>
          <w:tcPr>
            <w:tcW w:type="dxa" w:w="1660"/>
            <w:shd w:fill="FFFFFF" w:val="clear"/>
            <w:tcMar>
              <w:top w:type="dxa" w:w="80"/>
              <w:left w:type="dxa" w:w="100"/>
              <w:bottom w:type="dxa" w:w="80"/>
              <w:right w:type="dxa" w:w="100"/>
            </w:tcMar>
          </w:tcPr>
          <w:p>
            <w:r>
              <w:rPr>
                <w:b w:val="false"/>
                <w:bCs w:val="false"/>
                <w:color w:val="1A1A1A"/>
                <w:sz w:val="19"/>
                <w:szCs w:val="19"/>
              </w:rPr>
              <w:t xml:space="preserve">Polling sobre outbox_events</w:t>
            </w:r>
          </w:p>
        </w:tc>
      </w:tr>
      <w:tr>
        <w:trPr>
          <w:cantSplit/>
        </w:trPr>
        <w:tc>
          <w:tcPr>
            <w:tcW w:type="dxa" w:w="2600"/>
            <w:shd w:fill="F1EFE8" w:val="clear"/>
            <w:tcMar>
              <w:top w:type="dxa" w:w="80"/>
              <w:left w:type="dxa" w:w="100"/>
              <w:bottom w:type="dxa" w:w="80"/>
              <w:right w:type="dxa" w:w="100"/>
            </w:tcMar>
          </w:tcPr>
          <w:p>
            <w:r>
              <w:rPr>
                <w:b w:val="false"/>
                <w:bCs w:val="false"/>
                <w:color w:val="1A1A1A"/>
                <w:sz w:val="19"/>
                <w:szCs w:val="19"/>
              </w:rPr>
              <w:t xml:space="preserve">Notification Worker</w:t>
            </w:r>
          </w:p>
        </w:tc>
        <w:tc>
          <w:tcPr>
            <w:tcW w:type="dxa" w:w="5100"/>
            <w:shd w:fill="F1EFE8" w:val="clear"/>
            <w:tcMar>
              <w:top w:type="dxa" w:w="80"/>
              <w:left w:type="dxa" w:w="100"/>
              <w:bottom w:type="dxa" w:w="80"/>
              <w:right w:type="dxa" w:w="100"/>
            </w:tcMar>
          </w:tcPr>
          <w:p>
            <w:r>
              <w:rPr>
                <w:b w:val="false"/>
                <w:bCs w:val="false"/>
                <w:color w:val="1A1A1A"/>
                <w:sz w:val="19"/>
                <w:szCs w:val="19"/>
              </w:rPr>
              <w:t xml:space="preserve">Envía las notificaciones al cliente (en tránsito, entregado, cancelado, devuelto).</w:t>
            </w:r>
          </w:p>
        </w:tc>
        <w:tc>
          <w:tcPr>
            <w:tcW w:type="dxa" w:w="1660"/>
            <w:shd w:fill="F1EFE8" w:val="clear"/>
            <w:tcMar>
              <w:top w:type="dxa" w:w="80"/>
              <w:left w:type="dxa" w:w="100"/>
              <w:bottom w:type="dxa" w:w="80"/>
              <w:right w:type="dxa" w:w="100"/>
            </w:tcMar>
          </w:tcPr>
          <w:p>
            <w:r>
              <w:rPr>
                <w:b w:val="false"/>
                <w:bCs w:val="false"/>
                <w:color w:val="1A1A1A"/>
                <w:sz w:val="19"/>
                <w:szCs w:val="19"/>
              </w:rPr>
              <w:t xml:space="preserve">Polling sobre outbox_events</w:t>
            </w:r>
          </w:p>
        </w:tc>
      </w:tr>
      <w:tr>
        <w:trPr>
          <w:cantSplit/>
        </w:trPr>
        <w:tc>
          <w:tcPr>
            <w:tcW w:type="dxa" w:w="2600"/>
            <w:shd w:fill="FFFFFF" w:val="clear"/>
            <w:tcMar>
              <w:top w:type="dxa" w:w="80"/>
              <w:left w:type="dxa" w:w="100"/>
              <w:bottom w:type="dxa" w:w="80"/>
              <w:right w:type="dxa" w:w="100"/>
            </w:tcMar>
          </w:tcPr>
          <w:p>
            <w:r>
              <w:rPr>
                <w:b w:val="false"/>
                <w:bCs w:val="false"/>
                <w:color w:val="1A1A1A"/>
                <w:sz w:val="19"/>
                <w:szCs w:val="19"/>
              </w:rPr>
              <w:t xml:space="preserve">Pipeline Merch Worker</w:t>
            </w:r>
          </w:p>
        </w:tc>
        <w:tc>
          <w:tcPr>
            <w:tcW w:type="dxa" w:w="5100"/>
            <w:shd w:fill="FFFFFF" w:val="clear"/>
            <w:tcMar>
              <w:top w:type="dxa" w:w="80"/>
              <w:left w:type="dxa" w:w="100"/>
              <w:bottom w:type="dxa" w:w="80"/>
              <w:right w:type="dxa" w:w="100"/>
            </w:tcMar>
          </w:tcPr>
          <w:p>
            <w:r>
              <w:rPr>
                <w:b w:val="false"/>
                <w:bCs w:val="false"/>
                <w:color w:val="1A1A1A"/>
                <w:sz w:val="19"/>
                <w:szCs w:val="19"/>
              </w:rPr>
              <w:t xml:space="preserve">Reserva, descuenta o libera inventario según el estatus; genera el XML correspondiente.</w:t>
            </w:r>
          </w:p>
        </w:tc>
        <w:tc>
          <w:tcPr>
            <w:tcW w:type="dxa" w:w="1660"/>
            <w:shd w:fill="FFFFFF" w:val="clear"/>
            <w:tcMar>
              <w:top w:type="dxa" w:w="80"/>
              <w:left w:type="dxa" w:w="100"/>
              <w:bottom w:type="dxa" w:w="80"/>
              <w:right w:type="dxa" w:w="100"/>
            </w:tcMar>
          </w:tcPr>
          <w:p>
            <w:r>
              <w:rPr>
                <w:b w:val="false"/>
                <w:bCs w:val="false"/>
                <w:color w:val="1A1A1A"/>
                <w:sz w:val="19"/>
                <w:szCs w:val="19"/>
              </w:rPr>
              <w:t xml:space="preserve">Polling sobre outbox_events</w:t>
            </w:r>
          </w:p>
        </w:tc>
      </w:tr>
      <w:tr>
        <w:trPr>
          <w:cantSplit/>
        </w:trPr>
        <w:tc>
          <w:tcPr>
            <w:tcW w:type="dxa" w:w="2600"/>
            <w:shd w:fill="F1EFE8" w:val="clear"/>
            <w:tcMar>
              <w:top w:type="dxa" w:w="80"/>
              <w:left w:type="dxa" w:w="100"/>
              <w:bottom w:type="dxa" w:w="80"/>
              <w:right w:type="dxa" w:w="100"/>
            </w:tcMar>
          </w:tcPr>
          <w:p>
            <w:r>
              <w:rPr>
                <w:b w:val="false"/>
                <w:bCs w:val="false"/>
                <w:color w:val="1A1A1A"/>
                <w:sz w:val="19"/>
                <w:szCs w:val="19"/>
              </w:rPr>
              <w:t xml:space="preserve">USICOAL Central Worker</w:t>
            </w:r>
          </w:p>
        </w:tc>
        <w:tc>
          <w:tcPr>
            <w:tcW w:type="dxa" w:w="5100"/>
            <w:shd w:fill="F1EFE8" w:val="clear"/>
            <w:tcMar>
              <w:top w:type="dxa" w:w="80"/>
              <w:left w:type="dxa" w:w="100"/>
              <w:bottom w:type="dxa" w:w="80"/>
              <w:right w:type="dxa" w:w="100"/>
            </w:tcMar>
          </w:tcPr>
          <w:p>
            <w:r>
              <w:rPr>
                <w:b w:val="false"/>
                <w:bCs w:val="false"/>
                <w:color w:val="1A1A1A"/>
                <w:sz w:val="19"/>
                <w:szCs w:val="19"/>
              </w:rPr>
              <w:t xml:space="preserve">Genera el JSON de surtido para USICOAL Central.</w:t>
            </w:r>
          </w:p>
        </w:tc>
        <w:tc>
          <w:tcPr>
            <w:tcW w:type="dxa" w:w="1660"/>
            <w:shd w:fill="F1EFE8" w:val="clear"/>
            <w:tcMar>
              <w:top w:type="dxa" w:w="80"/>
              <w:left w:type="dxa" w:w="100"/>
              <w:bottom w:type="dxa" w:w="80"/>
              <w:right w:type="dxa" w:w="100"/>
            </w:tcMar>
          </w:tcPr>
          <w:p>
            <w:r>
              <w:rPr>
                <w:b w:val="false"/>
                <w:bCs w:val="false"/>
                <w:color w:val="1A1A1A"/>
                <w:sz w:val="19"/>
                <w:szCs w:val="19"/>
              </w:rPr>
              <w:t xml:space="preserve">Polling sobre outbox_events</w:t>
            </w:r>
          </w:p>
        </w:tc>
      </w:tr>
      <w:tr>
        <w:trPr>
          <w:cantSplit/>
        </w:trPr>
        <w:tc>
          <w:tcPr>
            <w:tcW w:type="dxa" w:w="2600"/>
            <w:shd w:fill="FFFFFF" w:val="clear"/>
            <w:tcMar>
              <w:top w:type="dxa" w:w="80"/>
              <w:left w:type="dxa" w:w="100"/>
              <w:bottom w:type="dxa" w:w="80"/>
              <w:right w:type="dxa" w:w="100"/>
            </w:tcMar>
          </w:tcPr>
          <w:p>
            <w:r>
              <w:rPr>
                <w:b w:val="false"/>
                <w:bCs w:val="false"/>
                <w:color w:val="1A1A1A"/>
                <w:sz w:val="19"/>
                <w:szCs w:val="19"/>
              </w:rPr>
              <w:t xml:space="preserve">Integration Monitor</w:t>
            </w:r>
          </w:p>
        </w:tc>
        <w:tc>
          <w:tcPr>
            <w:tcW w:type="dxa" w:w="5100"/>
            <w:shd w:fill="FFFFFF" w:val="clear"/>
            <w:tcMar>
              <w:top w:type="dxa" w:w="80"/>
              <w:left w:type="dxa" w:w="100"/>
              <w:bottom w:type="dxa" w:w="80"/>
              <w:right w:type="dxa" w:w="100"/>
            </w:tcMar>
          </w:tcPr>
          <w:p>
            <w:r>
              <w:rPr>
                <w:b w:val="false"/>
                <w:bCs w:val="false"/>
                <w:color w:val="1A1A1A"/>
                <w:sz w:val="19"/>
                <w:szCs w:val="19"/>
              </w:rPr>
              <w:t xml:space="preserve">Vigila outbox_consumer_failures y el job de reconciliación; alerta a Torre de Control.</w:t>
            </w:r>
          </w:p>
        </w:tc>
        <w:tc>
          <w:tcPr>
            <w:tcW w:type="dxa" w:w="1660"/>
            <w:shd w:fill="FFFFFF" w:val="clear"/>
            <w:tcMar>
              <w:top w:type="dxa" w:w="80"/>
              <w:left w:type="dxa" w:w="100"/>
              <w:bottom w:type="dxa" w:w="80"/>
              <w:right w:type="dxa" w:w="100"/>
            </w:tcMar>
          </w:tcPr>
          <w:p>
            <w:r>
              <w:rPr>
                <w:b w:val="false"/>
                <w:bCs w:val="false"/>
                <w:color w:val="1A1A1A"/>
                <w:sz w:val="19"/>
                <w:szCs w:val="19"/>
              </w:rPr>
              <w:t xml:space="preserve">Fallos de entrega o huecos</w:t>
            </w:r>
          </w:p>
        </w:tc>
      </w:tr>
    </w:tbl>
    <w:p>
      <w:pPr>
        <w:spacing w:after="160"/>
      </w:pPr>
      <w:r>
        <w:t xml:space="preserve">Los sistemas legado (iRoute, DB Orders, Pipeline SA, Gestión Órdenes, POS, Pipeline Merch) no se convierten en microservicios — tocarlos es un proyecto aparte, y no aporta valor si de todas formas van a seguir hablando con Aptos igual.</w:t>
      </w:r>
    </w:p>
    <w:p>
      <w:pPr>
        <w:pStyle w:val="Heading1"/>
        <w:spacing w:after="200" w:before="400"/>
      </w:pPr>
      <w:r>
        <w:t xml:space="preserve">9. Modelo de datos — GNC DB</w:t>
      </w:r>
    </w:p>
    <w:p>
      <w:pPr>
        <w:spacing w:after="160"/>
      </w:pPr>
      <w:r>
        <w:t xml:space="preserve">El siguiente modelo integra la máquina de estados, el patrón de outbox transaccional, la idempotencia de webhooks, el soporte de dos métodos de tracking por carrier, el detalle a nivel de artículo, las alertas de integración y los checkpoints de los workers de polling.</w:t>
      </w:r>
    </w:p>
    <w:p>
      <w:pPr>
        <w:spacing w:after="100" w:before="200"/>
        <w:jc w:val="center"/>
      </w:pPr>
      <w:r>
        <w:drawing>
          <wp:inline distT="0" distB="0" distL="0" distR="0">
            <wp:extent cx="58102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105150"/>
                    </a:xfrm>
                    <a:prstGeom prst="rect">
                      <a:avLst/>
                    </a:prstGeom>
                  </pic:spPr>
                </pic:pic>
              </a:graphicData>
            </a:graphic>
          </wp:inline>
        </w:drawing>
      </w:r>
    </w:p>
    <w:p>
      <w:pPr>
        <w:spacing w:after="240"/>
        <w:jc w:val="center"/>
      </w:pPr>
      <w:r>
        <w:rPr>
          <w:i/>
          <w:iCs/>
          <w:color w:val="5F5E5A"/>
          <w:sz w:val="19"/>
          <w:szCs w:val="19"/>
        </w:rPr>
        <w:t xml:space="preserve">Figura 8. Modelo entidad-relación de GNC DB (DB Orders). Faltan en este diagrama las tablas outbox_consumer_checkpoint y outbox_consumer_failures, descritas en la sección 7.2.</w:t>
      </w:r>
    </w:p>
    <w:p>
      <w:pPr>
        <w:pStyle w:val="Heading2"/>
        <w:spacing w:after="150" w:before="300"/>
      </w:pPr>
      <w:r>
        <w:t xml:space="preserve">9.1 Propósito de cada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534AB7" w:val="clear"/>
            <w:tcMar>
              <w:top w:type="dxa" w:w="80"/>
              <w:left w:type="dxa" w:w="100"/>
              <w:bottom w:type="dxa" w:w="80"/>
              <w:right w:type="dxa" w:w="100"/>
            </w:tcMar>
          </w:tcPr>
          <w:p>
            <w:r>
              <w:rPr>
                <w:b/>
                <w:bCs/>
                <w:color w:val="FFFFFF"/>
                <w:sz w:val="19"/>
                <w:szCs w:val="19"/>
              </w:rPr>
              <w:t xml:space="preserve">Tabla</w:t>
            </w:r>
          </w:p>
        </w:tc>
        <w:tc>
          <w:tcPr>
            <w:tcW w:type="dxa" w:w="6960"/>
            <w:shd w:fill="534AB7" w:val="clear"/>
            <w:tcMar>
              <w:top w:type="dxa" w:w="80"/>
              <w:left w:type="dxa" w:w="100"/>
              <w:bottom w:type="dxa" w:w="80"/>
              <w:right w:type="dxa" w:w="100"/>
            </w:tcMar>
          </w:tcPr>
          <w:p>
            <w:r>
              <w:rPr>
                <w:b/>
                <w:bCs/>
                <w:color w:val="FFFFFF"/>
                <w:sz w:val="19"/>
                <w:szCs w:val="19"/>
              </w:rPr>
              <w:t xml:space="preserve">Propósito</w:t>
            </w:r>
          </w:p>
        </w:tc>
      </w:tr>
      <w:tr>
        <w:trPr>
          <w:cantSplit/>
        </w:trPr>
        <w:tc>
          <w:tcPr>
            <w:tcW w:type="dxa" w:w="2400"/>
            <w:shd w:fill="F1EFE8" w:val="clear"/>
            <w:tcMar>
              <w:top w:type="dxa" w:w="80"/>
              <w:left w:type="dxa" w:w="100"/>
              <w:bottom w:type="dxa" w:w="80"/>
              <w:right w:type="dxa" w:w="100"/>
            </w:tcMar>
          </w:tcPr>
          <w:p>
            <w:r>
              <w:rPr>
                <w:b w:val="false"/>
                <w:bCs w:val="false"/>
                <w:color w:val="1A1A1A"/>
                <w:sz w:val="19"/>
                <w:szCs w:val="19"/>
              </w:rPr>
              <w:t xml:space="preserve">orders</w:t>
            </w:r>
          </w:p>
        </w:tc>
        <w:tc>
          <w:tcPr>
            <w:tcW w:type="dxa" w:w="6960"/>
            <w:shd w:fill="F1EFE8" w:val="clear"/>
            <w:tcMar>
              <w:top w:type="dxa" w:w="80"/>
              <w:left w:type="dxa" w:w="100"/>
              <w:bottom w:type="dxa" w:w="80"/>
              <w:right w:type="dxa" w:w="100"/>
            </w:tcMar>
          </w:tcPr>
          <w:p>
            <w:r>
              <w:rPr>
                <w:b w:val="false"/>
                <w:bCs w:val="false"/>
                <w:color w:val="1A1A1A"/>
                <w:sz w:val="19"/>
                <w:szCs w:val="19"/>
              </w:rPr>
              <w:t xml:space="preserve">Estado actual del pedido; fechas clave para ventana de devolución y alertas de tiempo.</w:t>
            </w:r>
          </w:p>
        </w:tc>
      </w:tr>
      <w:tr>
        <w:trPr>
          <w:cantSplit/>
        </w:trPr>
        <w:tc>
          <w:tcPr>
            <w:tcW w:type="dxa" w:w="2400"/>
            <w:shd w:fill="FFFFFF" w:val="clear"/>
            <w:tcMar>
              <w:top w:type="dxa" w:w="80"/>
              <w:left w:type="dxa" w:w="100"/>
              <w:bottom w:type="dxa" w:w="80"/>
              <w:right w:type="dxa" w:w="100"/>
            </w:tcMar>
          </w:tcPr>
          <w:p>
            <w:r>
              <w:rPr>
                <w:b w:val="false"/>
                <w:bCs w:val="false"/>
                <w:color w:val="1A1A1A"/>
                <w:sz w:val="19"/>
                <w:szCs w:val="19"/>
              </w:rPr>
              <w:t xml:space="preserve">order_status_history</w:t>
            </w:r>
          </w:p>
        </w:tc>
        <w:tc>
          <w:tcPr>
            <w:tcW w:type="dxa" w:w="6960"/>
            <w:shd w:fill="FFFFFF" w:val="clear"/>
            <w:tcMar>
              <w:top w:type="dxa" w:w="80"/>
              <w:left w:type="dxa" w:w="100"/>
              <w:bottom w:type="dxa" w:w="80"/>
              <w:right w:type="dxa" w:w="100"/>
            </w:tcMar>
          </w:tcPr>
          <w:p>
            <w:r>
              <w:rPr>
                <w:b w:val="false"/>
                <w:bCs w:val="false"/>
                <w:color w:val="1A1A1A"/>
                <w:sz w:val="19"/>
                <w:szCs w:val="19"/>
              </w:rPr>
              <w:t xml:space="preserve">Bitácora inmutable de todo cambio de estatus, con su origen — base del job de reconciliación.</w:t>
            </w:r>
          </w:p>
        </w:tc>
      </w:tr>
      <w:tr>
        <w:trPr>
          <w:cantSplit/>
        </w:trPr>
        <w:tc>
          <w:tcPr>
            <w:tcW w:type="dxa" w:w="2400"/>
            <w:shd w:fill="F1EFE8" w:val="clear"/>
            <w:tcMar>
              <w:top w:type="dxa" w:w="80"/>
              <w:left w:type="dxa" w:w="100"/>
              <w:bottom w:type="dxa" w:w="80"/>
              <w:right w:type="dxa" w:w="100"/>
            </w:tcMar>
          </w:tcPr>
          <w:p>
            <w:r>
              <w:rPr>
                <w:b w:val="false"/>
                <w:bCs w:val="false"/>
                <w:color w:val="1A1A1A"/>
                <w:sz w:val="19"/>
                <w:szCs w:val="19"/>
              </w:rPr>
              <w:t xml:space="preserve">carriers</w:t>
            </w:r>
          </w:p>
        </w:tc>
        <w:tc>
          <w:tcPr>
            <w:tcW w:type="dxa" w:w="6960"/>
            <w:shd w:fill="F1EFE8" w:val="clear"/>
            <w:tcMar>
              <w:top w:type="dxa" w:w="80"/>
              <w:left w:type="dxa" w:w="100"/>
              <w:bottom w:type="dxa" w:w="80"/>
              <w:right w:type="dxa" w:w="100"/>
            </w:tcMar>
          </w:tcPr>
          <w:p>
            <w:r>
              <w:rPr>
                <w:b w:val="false"/>
                <w:bCs w:val="false"/>
                <w:color w:val="1A1A1A"/>
                <w:sz w:val="19"/>
                <w:szCs w:val="19"/>
              </w:rPr>
              <w:t xml:space="preserve">Catálogo de carriers con su método de tracking (webhook o polling).</w:t>
            </w:r>
          </w:p>
        </w:tc>
      </w:tr>
      <w:tr>
        <w:trPr>
          <w:cantSplit/>
        </w:trPr>
        <w:tc>
          <w:tcPr>
            <w:tcW w:type="dxa" w:w="2400"/>
            <w:shd w:fill="FFFFFF" w:val="clear"/>
            <w:tcMar>
              <w:top w:type="dxa" w:w="80"/>
              <w:left w:type="dxa" w:w="100"/>
              <w:bottom w:type="dxa" w:w="80"/>
              <w:right w:type="dxa" w:w="100"/>
            </w:tcMar>
          </w:tcPr>
          <w:p>
            <w:r>
              <w:rPr>
                <w:b w:val="false"/>
                <w:bCs w:val="false"/>
                <w:color w:val="1A1A1A"/>
                <w:sz w:val="19"/>
                <w:szCs w:val="19"/>
              </w:rPr>
              <w:t xml:space="preserve">outbox_events</w:t>
            </w:r>
          </w:p>
        </w:tc>
        <w:tc>
          <w:tcPr>
            <w:tcW w:type="dxa" w:w="6960"/>
            <w:shd w:fill="FFFFFF" w:val="clear"/>
            <w:tcMar>
              <w:top w:type="dxa" w:w="80"/>
              <w:left w:type="dxa" w:w="100"/>
              <w:bottom w:type="dxa" w:w="80"/>
              <w:right w:type="dxa" w:w="100"/>
            </w:tcMar>
          </w:tcPr>
          <w:p>
            <w:r>
              <w:rPr>
                <w:b w:val="false"/>
                <w:bCs w:val="false"/>
                <w:color w:val="1A1A1A"/>
                <w:sz w:val="19"/>
                <w:szCs w:val="19"/>
              </w:rPr>
              <w:t xml:space="preserve">Eventos pendientes de publicar; garantiza el patrón de outbox transaccional.</w:t>
            </w:r>
          </w:p>
        </w:tc>
      </w:tr>
      <w:tr>
        <w:trPr>
          <w:cantSplit/>
        </w:trPr>
        <w:tc>
          <w:tcPr>
            <w:tcW w:type="dxa" w:w="2400"/>
            <w:shd w:fill="F1EFE8" w:val="clear"/>
            <w:tcMar>
              <w:top w:type="dxa" w:w="80"/>
              <w:left w:type="dxa" w:w="100"/>
              <w:bottom w:type="dxa" w:w="80"/>
              <w:right w:type="dxa" w:w="100"/>
            </w:tcMar>
          </w:tcPr>
          <w:p>
            <w:r>
              <w:rPr>
                <w:b w:val="false"/>
                <w:bCs w:val="false"/>
                <w:color w:val="1A1A1A"/>
                <w:sz w:val="19"/>
                <w:szCs w:val="19"/>
              </w:rPr>
              <w:t xml:space="preserve">webhook_events_log</w:t>
            </w:r>
          </w:p>
        </w:tc>
        <w:tc>
          <w:tcPr>
            <w:tcW w:type="dxa" w:w="6960"/>
            <w:shd w:fill="F1EFE8" w:val="clear"/>
            <w:tcMar>
              <w:top w:type="dxa" w:w="80"/>
              <w:left w:type="dxa" w:w="100"/>
              <w:bottom w:type="dxa" w:w="80"/>
              <w:right w:type="dxa" w:w="100"/>
            </w:tcMar>
          </w:tcPr>
          <w:p>
            <w:r>
              <w:rPr>
                <w:b w:val="false"/>
                <w:bCs w:val="false"/>
                <w:color w:val="1A1A1A"/>
                <w:sz w:val="19"/>
                <w:szCs w:val="19"/>
              </w:rPr>
              <w:t xml:space="preserve">Registro de webhooks recibidos; base de la idempotencia.</w:t>
            </w:r>
          </w:p>
        </w:tc>
      </w:tr>
      <w:tr>
        <w:trPr>
          <w:cantSplit/>
        </w:trPr>
        <w:tc>
          <w:tcPr>
            <w:tcW w:type="dxa" w:w="2400"/>
            <w:shd w:fill="FFFFFF" w:val="clear"/>
            <w:tcMar>
              <w:top w:type="dxa" w:w="80"/>
              <w:left w:type="dxa" w:w="100"/>
              <w:bottom w:type="dxa" w:w="80"/>
              <w:right w:type="dxa" w:w="100"/>
            </w:tcMar>
          </w:tcPr>
          <w:p>
            <w:r>
              <w:rPr>
                <w:b w:val="false"/>
                <w:bCs w:val="false"/>
                <w:color w:val="1A1A1A"/>
                <w:sz w:val="19"/>
                <w:szCs w:val="19"/>
              </w:rPr>
              <w:t xml:space="preserve">order_items</w:t>
            </w:r>
          </w:p>
        </w:tc>
        <w:tc>
          <w:tcPr>
            <w:tcW w:type="dxa" w:w="6960"/>
            <w:shd w:fill="FFFFFF" w:val="clear"/>
            <w:tcMar>
              <w:top w:type="dxa" w:w="80"/>
              <w:left w:type="dxa" w:w="100"/>
              <w:bottom w:type="dxa" w:w="80"/>
              <w:right w:type="dxa" w:w="100"/>
            </w:tcMar>
          </w:tcPr>
          <w:p>
            <w:r>
              <w:rPr>
                <w:b w:val="false"/>
                <w:bCs w:val="false"/>
                <w:color w:val="1A1A1A"/>
                <w:sz w:val="19"/>
                <w:szCs w:val="19"/>
              </w:rPr>
              <w:t xml:space="preserve">Detalle por artículo, incluyendo estado de reserva (para Pipeline Merch).</w:t>
            </w:r>
          </w:p>
        </w:tc>
      </w:tr>
      <w:tr>
        <w:trPr>
          <w:cantSplit/>
        </w:trPr>
        <w:tc>
          <w:tcPr>
            <w:tcW w:type="dxa" w:w="2400"/>
            <w:shd w:fill="F1EFE8" w:val="clear"/>
            <w:tcMar>
              <w:top w:type="dxa" w:w="80"/>
              <w:left w:type="dxa" w:w="100"/>
              <w:bottom w:type="dxa" w:w="80"/>
              <w:right w:type="dxa" w:w="100"/>
            </w:tcMar>
          </w:tcPr>
          <w:p>
            <w:r>
              <w:rPr>
                <w:b w:val="false"/>
                <w:bCs w:val="false"/>
                <w:color w:val="1A1A1A"/>
                <w:sz w:val="19"/>
                <w:szCs w:val="19"/>
              </w:rPr>
              <w:t xml:space="preserve">returns</w:t>
            </w:r>
          </w:p>
        </w:tc>
        <w:tc>
          <w:tcPr>
            <w:tcW w:type="dxa" w:w="6960"/>
            <w:shd w:fill="F1EFE8" w:val="clear"/>
            <w:tcMar>
              <w:top w:type="dxa" w:w="80"/>
              <w:left w:type="dxa" w:w="100"/>
              <w:bottom w:type="dxa" w:w="80"/>
              <w:right w:type="dxa" w:w="100"/>
            </w:tcMar>
          </w:tcPr>
          <w:p>
            <w:r>
              <w:rPr>
                <w:b w:val="false"/>
                <w:bCs w:val="false"/>
                <w:color w:val="1A1A1A"/>
                <w:sz w:val="19"/>
                <w:szCs w:val="19"/>
              </w:rPr>
              <w:t xml:space="preserve">Solicitudes de devolución, independientes de la máquina de estados principal.</w:t>
            </w:r>
          </w:p>
        </w:tc>
      </w:tr>
      <w:tr>
        <w:trPr>
          <w:cantSplit/>
        </w:trPr>
        <w:tc>
          <w:tcPr>
            <w:tcW w:type="dxa" w:w="2400"/>
            <w:shd w:fill="FFFFFF" w:val="clear"/>
            <w:tcMar>
              <w:top w:type="dxa" w:w="80"/>
              <w:left w:type="dxa" w:w="100"/>
              <w:bottom w:type="dxa" w:w="80"/>
              <w:right w:type="dxa" w:w="100"/>
            </w:tcMar>
          </w:tcPr>
          <w:p>
            <w:r>
              <w:rPr>
                <w:b w:val="false"/>
                <w:bCs w:val="false"/>
                <w:color w:val="1A1A1A"/>
                <w:sz w:val="19"/>
                <w:szCs w:val="19"/>
              </w:rPr>
              <w:t xml:space="preserve">integration_alerts</w:t>
            </w:r>
          </w:p>
        </w:tc>
        <w:tc>
          <w:tcPr>
            <w:tcW w:type="dxa" w:w="6960"/>
            <w:shd w:fill="FFFFFF" w:val="clear"/>
            <w:tcMar>
              <w:top w:type="dxa" w:w="80"/>
              <w:left w:type="dxa" w:w="100"/>
              <w:bottom w:type="dxa" w:w="80"/>
              <w:right w:type="dxa" w:w="100"/>
            </w:tcMar>
          </w:tcPr>
          <w:p>
            <w:r>
              <w:rPr>
                <w:b w:val="false"/>
                <w:bCs w:val="false"/>
                <w:color w:val="1A1A1A"/>
                <w:sz w:val="19"/>
                <w:szCs w:val="19"/>
              </w:rPr>
              <w:t xml:space="preserve">Alertas activas y resueltas generadas por el Integration Monitor.</w:t>
            </w:r>
          </w:p>
        </w:tc>
      </w:tr>
      <w:tr>
        <w:trPr>
          <w:cantSplit/>
        </w:trPr>
        <w:tc>
          <w:tcPr>
            <w:tcW w:type="dxa" w:w="2400"/>
            <w:shd w:fill="F1EFE8" w:val="clear"/>
            <w:tcMar>
              <w:top w:type="dxa" w:w="80"/>
              <w:left w:type="dxa" w:w="100"/>
              <w:bottom w:type="dxa" w:w="80"/>
              <w:right w:type="dxa" w:w="100"/>
            </w:tcMar>
          </w:tcPr>
          <w:p>
            <w:r>
              <w:rPr>
                <w:b w:val="false"/>
                <w:bCs w:val="false"/>
                <w:color w:val="1A1A1A"/>
                <w:sz w:val="19"/>
                <w:szCs w:val="19"/>
              </w:rPr>
              <w:t xml:space="preserve">outbox_consumer_checkpoint</w:t>
            </w:r>
          </w:p>
        </w:tc>
        <w:tc>
          <w:tcPr>
            <w:tcW w:type="dxa" w:w="6960"/>
            <w:shd w:fill="F1EFE8" w:val="clear"/>
            <w:tcMar>
              <w:top w:type="dxa" w:w="80"/>
              <w:left w:type="dxa" w:w="100"/>
              <w:bottom w:type="dxa" w:w="80"/>
              <w:right w:type="dxa" w:w="100"/>
            </w:tcMar>
          </w:tcPr>
          <w:p>
            <w:r>
              <w:rPr>
                <w:b w:val="false"/>
                <w:bCs w:val="false"/>
                <w:color w:val="1A1A1A"/>
                <w:sz w:val="19"/>
                <w:szCs w:val="19"/>
              </w:rPr>
              <w:t xml:space="preserve">Última posición (seq) procesada por cada worker de polling.</w:t>
            </w:r>
          </w:p>
        </w:tc>
      </w:tr>
      <w:tr>
        <w:trPr>
          <w:cantSplit/>
        </w:trPr>
        <w:tc>
          <w:tcPr>
            <w:tcW w:type="dxa" w:w="2400"/>
            <w:shd w:fill="FFFFFF" w:val="clear"/>
            <w:tcMar>
              <w:top w:type="dxa" w:w="80"/>
              <w:left w:type="dxa" w:w="100"/>
              <w:bottom w:type="dxa" w:w="80"/>
              <w:right w:type="dxa" w:w="100"/>
            </w:tcMar>
          </w:tcPr>
          <w:p>
            <w:r>
              <w:rPr>
                <w:b w:val="false"/>
                <w:bCs w:val="false"/>
                <w:color w:val="1A1A1A"/>
                <w:sz w:val="19"/>
                <w:szCs w:val="19"/>
              </w:rPr>
              <w:t xml:space="preserve">outbox_consumer_failures</w:t>
            </w:r>
          </w:p>
        </w:tc>
        <w:tc>
          <w:tcPr>
            <w:tcW w:type="dxa" w:w="6960"/>
            <w:shd w:fill="FFFFFF" w:val="clear"/>
            <w:tcMar>
              <w:top w:type="dxa" w:w="80"/>
              <w:left w:type="dxa" w:w="100"/>
              <w:bottom w:type="dxa" w:w="80"/>
              <w:right w:type="dxa" w:w="100"/>
            </w:tcMar>
          </w:tcPr>
          <w:p>
            <w:r>
              <w:rPr>
                <w:b w:val="false"/>
                <w:bCs w:val="false"/>
                <w:color w:val="1A1A1A"/>
                <w:sz w:val="19"/>
                <w:szCs w:val="19"/>
              </w:rPr>
              <w:t xml:space="preserve">Eventos que un worker no logró procesar tras varios intentos — reemplaza al dead-letter queue.</w:t>
            </w:r>
          </w:p>
        </w:tc>
      </w:tr>
    </w:tbl>
    <w:p>
      <w:pPr>
        <w:spacing w:after="160"/>
      </w:pPr>
      <w:r>
        <w:t xml:space="preserve">El campo sync_irroute_confirmado (booleano, en orders) se agregó para soportar la sincronización pull de iRoute: se marca en true cuando iRoute confirma haber procesado un estatus, ya sea por push o por pull.</w:t>
      </w:r>
    </w:p>
    <w:p>
      <w:pPr>
        <w:pStyle w:val="Heading1"/>
        <w:spacing w:after="200" w:before="400"/>
      </w:pPr>
      <w:r>
        <w:t xml:space="preserve">10. Decisiones confirmadas durante el diseño</w:t>
      </w:r>
    </w:p>
    <w:p>
      <w:pPr>
        <w:spacing w:after="160"/>
      </w:pPr>
      <w:r>
        <w:t xml:space="preserve">Registro de las decisiones tomadas explícitamente, para trazabilidad frente al equipo:</w:t>
      </w:r>
    </w:p>
    <w:p>
      <w:pPr>
        <w:pStyle w:val="ListParagraph"/>
        <w:numPr>
          <w:ilvl w:val="0"/>
          <w:numId w:val="2"/>
        </w:numPr>
        <w:spacing w:after="80"/>
      </w:pPr>
      <w:r>
        <w:t xml:space="preserve">La reserva de inventario ocurre solo al aceptar (“Aceptado”), no al asignar — aplica también a órdenes express.</w:t>
      </w:r>
    </w:p>
    <w:p>
      <w:pPr>
        <w:pStyle w:val="ListParagraph"/>
        <w:numPr>
          <w:ilvl w:val="0"/>
          <w:numId w:val="2"/>
        </w:numPr>
        <w:spacing w:after="80"/>
      </w:pPr>
      <w:r>
        <w:t xml:space="preserve">El estatus “Entregado” llega por webhook del carrier y se guarda directo en DB Orders; requiere validación de firma e idempotencia.</w:t>
      </w:r>
    </w:p>
    <w:p>
      <w:pPr>
        <w:pStyle w:val="ListParagraph"/>
        <w:numPr>
          <w:ilvl w:val="0"/>
          <w:numId w:val="2"/>
        </w:numPr>
        <w:spacing w:after="80"/>
      </w:pPr>
      <w:r>
        <w:t xml:space="preserve">iRoute mantiene su propia sincronización de estatus aunque DB Orders sea la fuente de verdad; la dirección de sincronización es DB Orders → iRoute a partir de “Entregado”, con push y pull de respaldo.</w:t>
      </w:r>
    </w:p>
    <w:p>
      <w:pPr>
        <w:pStyle w:val="ListParagraph"/>
        <w:numPr>
          <w:ilvl w:val="0"/>
          <w:numId w:val="2"/>
        </w:numPr>
        <w:spacing w:after="80"/>
      </w:pPr>
      <w:r>
        <w:t xml:space="preserve">La ventana de devolución es de 90 días desde fecha_entrega, validada en el momento de la solicitud en POS — no por batch.</w:t>
      </w:r>
    </w:p>
    <w:p>
      <w:pPr>
        <w:pStyle w:val="ListParagraph"/>
        <w:numPr>
          <w:ilvl w:val="0"/>
          <w:numId w:val="2"/>
        </w:numPr>
        <w:spacing w:after="80"/>
      </w:pPr>
      <w:r>
        <w:t xml:space="preserve">No se utiliza RabbitMQ ni ningún broker externo, por restricción del proyecto. La distribución de eventos se implementa con polling y checkpoints sobre SQL Server.</w:t>
      </w:r>
    </w:p>
    <w:p>
      <w:pPr>
        <w:pStyle w:val="ListParagraph"/>
        <w:numPr>
          <w:ilvl w:val="0"/>
          <w:numId w:val="2"/>
        </w:numPr>
        <w:spacing w:after="80"/>
      </w:pPr>
      <w:r>
        <w:t xml:space="preserve">El servicio de reservado y el de descuento de inventario se resuelven en el mismo pipeline (Pipeline Merch), diferenciando solo la estructura del XML y la carpeta de salida.</w:t>
      </w:r>
    </w:p>
    <w:p>
      <w:pPr>
        <w:pStyle w:val="ListParagraph"/>
        <w:numPr>
          <w:ilvl w:val="0"/>
          <w:numId w:val="2"/>
        </w:numPr>
        <w:spacing w:after="80"/>
      </w:pPr>
      <w:r>
        <w:t xml:space="preserve">El restock en devoluciones lo realiza SA de forma automática; se agrega verificación de respaldo en el Integration Monitor.</w:t>
      </w:r>
    </w:p>
    <w:p>
      <w:pPr>
        <w:pStyle w:val="ListParagraph"/>
        <w:numPr>
          <w:ilvl w:val="0"/>
          <w:numId w:val="2"/>
        </w:numPr>
        <w:spacing w:after="80"/>
      </w:pPr>
      <w:r>
        <w:t xml:space="preserve">Después de “Surtido” se genera el JSON para USICOAL Central en la carpeta ya definida (D:\NSB\Coalition\OmsOrders).</w:t>
      </w:r>
    </w:p>
    <w:p>
      <w:pPr>
        <w:pStyle w:val="ListParagraph"/>
        <w:numPr>
          <w:ilvl w:val="0"/>
          <w:numId w:val="2"/>
        </w:numPr>
        <w:spacing w:after="80"/>
      </w:pPr>
      <w:r>
        <w:t xml:space="preserve">“Aceptado” y “En tránsito” son estatus internos; Aptos no los necesita, Pipeline SA solo los usa para decidir si generar o no un archivo.</w:t>
      </w:r>
    </w:p>
    <w:p>
      <w:pPr>
        <w:pStyle w:val="ListParagraph"/>
        <w:numPr>
          <w:ilvl w:val="0"/>
          <w:numId w:val="2"/>
        </w:numPr>
        <w:spacing w:after="80"/>
      </w:pPr>
      <w:r>
        <w:t xml:space="preserve">La GNC API se construye desde cero como único punto de acceso (lectura y escritura) a GNC DB; ningún sistema se conecta directo a la base de datos.</w:t>
      </w:r>
    </w:p>
    <w:p>
      <w:pPr>
        <w:pStyle w:val="ListParagraph"/>
        <w:numPr>
          <w:ilvl w:val="0"/>
          <w:numId w:val="2"/>
        </w:numPr>
        <w:spacing w:after="80"/>
      </w:pPr>
      <w:r>
        <w:t xml:space="preserve">Torre de Control adopta sin problema la llamada directa a la GNC API para cancelaciones.</w:t>
      </w:r>
    </w:p>
    <w:p>
      <w:pPr>
        <w:pStyle w:val="ListParagraph"/>
        <w:numPr>
          <w:ilvl w:val="0"/>
          <w:numId w:val="2"/>
        </w:numPr>
        <w:spacing w:after="80"/>
      </w:pPr>
      <w:r>
        <w:t xml:space="preserve">El Integration Monitor queda definido con 5 revisiones concretas, control de duplicados por alerta activa, pantalla de consulta y notificación activa por correo electrónico (Slack se evaluó y se descartó por ahora).</w:t>
      </w:r>
    </w:p>
    <w:p>
      <w:pPr>
        <w:pStyle w:val="Heading1"/>
        <w:spacing w:after="200" w:before="400"/>
      </w:pPr>
      <w:r>
        <w:t xml:space="preserve">11. Puntos pendientes de confirmar con el equipo</w:t>
      </w:r>
    </w:p>
    <w:p>
      <w:pPr>
        <w:pStyle w:val="ListParagraph"/>
        <w:numPr>
          <w:ilvl w:val="0"/>
          <w:numId w:val="2"/>
        </w:numPr>
        <w:spacing w:after="80"/>
      </w:pPr>
      <w:r>
        <w:t xml:space="preserve">Rutas exactas de carpeta para los XML de “reservado” y “liberado” que generará Pipeline Merch (distintas a D:\HostData\aw_xpr_01).</w:t>
      </w:r>
    </w:p>
    <w:p>
      <w:pPr>
        <w:pStyle w:val="ListParagraph"/>
        <w:numPr>
          <w:ilvl w:val="0"/>
          <w:numId w:val="2"/>
        </w:numPr>
        <w:spacing w:after="80"/>
      </w:pPr>
      <w:r>
        <w:t xml:space="preserve">Umbral de tiempo exacto que debe usar el Integration Monitor para cada una de sus 5 revisiones.</w:t>
      </w:r>
    </w:p>
    <w:p>
      <w:pPr>
        <w:pStyle w:val="ListParagraph"/>
        <w:numPr>
          <w:ilvl w:val="0"/>
          <w:numId w:val="2"/>
        </w:numPr>
        <w:spacing w:after="80"/>
      </w:pPr>
      <w:r>
        <w:t xml:space="preserve">Definir el intervalo (N minutos) del Tracking Poller Job por carrier, respetando límites de rate de cada API, y del intervalo de polling de cada worker de eventos.</w:t>
      </w:r>
    </w:p>
    <w:p>
      <w:pPr>
        <w:pStyle w:val="ListParagraph"/>
        <w:numPr>
          <w:ilvl w:val="0"/>
          <w:numId w:val="2"/>
        </w:numPr>
        <w:spacing w:after="80"/>
      </w:pPr>
      <w:r>
        <w:t xml:space="preserve">Cómo identificar una devolución desde POS: si su código es modificable para llamar la GNC API directamente al imprimir el ticket, o si es de terceros y requiere un watcher sobre la tabla de transacciones de USICOAL Central.</w:t>
      </w:r>
    </w:p>
    <w:p>
      <w:pPr>
        <w:pStyle w:val="ListParagraph"/>
        <w:numPr>
          <w:ilvl w:val="0"/>
          <w:numId w:val="2"/>
        </w:numPr>
        <w:spacing w:after="80"/>
      </w:pPr>
      <w:r>
        <w:t xml:space="preserve">Confirmar con el equipo de iRoute si pueden desarrollar el mecanismo de sincronización pull (job programado + dos endpoints nuevos), o si el diseño se queda solo con push + reconciliación manual.</w:t>
      </w:r>
    </w:p>
    <w:p>
      <w:pPr>
        <w:pStyle w:val="ListParagraph"/>
        <w:numPr>
          <w:ilvl w:val="0"/>
          <w:numId w:val="2"/>
        </w:numPr>
        <w:spacing w:after="80"/>
      </w:pPr>
      <w:r>
        <w:t xml:space="preserve">Lista de distribución de correo para las alertas del Integration Monitor, y si se reutiliza un servidor SMTP corporativo existente o se da de alta uno nuevo.</w:t>
      </w:r>
    </w:p>
    <w:p>
      <w:pPr>
        <w:pStyle w:val="ListParagraph"/>
        <w:numPr>
          <w:ilvl w:val="0"/>
          <w:numId w:val="2"/>
        </w:numPr>
        <w:spacing w:after="80"/>
      </w:pPr>
      <w:r>
        <w:t xml:space="preserve">Confirmar con Aptos si “Asignado” y “Negado/Reroute” requieren su propio XML o si les basta con enterarse por el flujo actual.</w:t>
      </w:r>
    </w:p>
    <w:p>
      <w:pPr>
        <w:pStyle w:val="Heading1"/>
        <w:spacing w:after="200" w:before="400"/>
      </w:pPr>
      <w:r>
        <w:t xml:space="preserve">12. Próximos pasos sugeridos</w:t>
      </w:r>
    </w:p>
    <w:p>
      <w:pPr>
        <w:pStyle w:val="ListParagraph"/>
        <w:numPr>
          <w:ilvl w:val="0"/>
          <w:numId w:val="2"/>
        </w:numPr>
        <w:spacing w:after="80"/>
      </w:pPr>
      <w:r>
        <w:t xml:space="preserve">Validar este documento con el equipo, en particular la sección 11.</w:t>
      </w:r>
    </w:p>
    <w:p>
      <w:pPr>
        <w:pStyle w:val="ListParagraph"/>
        <w:numPr>
          <w:ilvl w:val="0"/>
          <w:numId w:val="2"/>
        </w:numPr>
        <w:spacing w:after="80"/>
      </w:pPr>
      <w:r>
        <w:t xml:space="preserve">Definir el DDL completo de GNC DB con constraints, llaves foráneas e índices, incluyendo las tablas de checkpoint y fallos de la sección 7.2.</w:t>
      </w:r>
    </w:p>
    <w:p>
      <w:pPr>
        <w:pStyle w:val="ListParagraph"/>
        <w:numPr>
          <w:ilvl w:val="0"/>
          <w:numId w:val="2"/>
        </w:numPr>
        <w:spacing w:after="80"/>
      </w:pPr>
      <w:r>
        <w:t xml:space="preserve">Diseñar el detalle interno del Webhook Receiver Service.</w:t>
      </w:r>
    </w:p>
    <w:p>
      <w:pPr>
        <w:pStyle w:val="ListParagraph"/>
        <w:numPr>
          <w:ilvl w:val="0"/>
          <w:numId w:val="2"/>
        </w:numPr>
        <w:spacing w:after="80"/>
      </w:pPr>
      <w:r>
        <w:t xml:space="preserve">Confirmar con POS e iRoute los dos puntos abiertos de integración antes de iniciar el desarrollo de esas partes.</w:t>
      </w:r>
    </w:p>
    <w:p>
      <w:pPr>
        <w:pStyle w:val="ListParagraph"/>
        <w:numPr>
          <w:ilvl w:val="0"/>
          <w:numId w:val="2"/>
        </w:numPr>
        <w:spacing w:after="80"/>
      </w:pPr>
      <w:r>
        <w:t xml:space="preserve">Usar la guía “GNC API — Guía de implementación” como punto de partida del desarrollo de los endpoints.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82cc48e305626ffa2b4716e3fb460b95a87824.png"/><Relationship Id="rId8" Type="http://schemas.openxmlformats.org/officeDocument/2006/relationships/image" Target="media/f22347086a32fd611eb715831a6e76e430e7a538.png"/><Relationship Id="rId9" Type="http://schemas.openxmlformats.org/officeDocument/2006/relationships/image" Target="media/eb97db6367e5f023de13761829aa8ad7bf6f5b82.png"/><Relationship Id="rId10" Type="http://schemas.openxmlformats.org/officeDocument/2006/relationships/image" Target="media/328fd84f46c871c1d84ee0ec4d234d003128f8b9.png"/><Relationship Id="rId11" Type="http://schemas.openxmlformats.org/officeDocument/2006/relationships/image" Target="media/b6f3d908d6578ed00aad1f4dc3a7734f106d1ad6.png"/><Relationship Id="rId12" Type="http://schemas.openxmlformats.org/officeDocument/2006/relationships/image" Target="media/58e82dda6a79ed9d287a82e964b50b242462521d.png"/><Relationship Id="rId13" Type="http://schemas.openxmlformats.org/officeDocument/2006/relationships/image" Target="media/6bc0d3a60497ffe1818239b726972252dc3607e4.png"/><Relationship Id="rId14" Type="http://schemas.openxmlformats.org/officeDocument/2006/relationships/image" Target="media/fba7d97dd02c47bc85df35d7babf27e9048f214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2026-09-10T17:01:39.657Z</dcterms:created>
  <dcterms:modified xsi:type="dcterms:W3CDTF">2026-09-10T17:01:39.667Z</dcterms:modified>
</cp:coreProperties>
</file>

<file path=docProps/custom.xml><?xml version="1.0" encoding="utf-8"?>
<Properties xmlns="http://schemas.openxmlformats.org/officeDocument/2006/custom-properties" xmlns:vt="http://schemas.openxmlformats.org/officeDocument/2006/docPropsVTypes"/>
</file>