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B32A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БЮДЖЕТНОЕ ПРОФЕССИОНАЛЬНОЕ ОБРАЗОВАТЕЛЬНОЕ УЧРЕЖДЕНИЕ ВОЛОГОДСКОЙ ОБЛАСТИ «ЧЕРЕПОВЕЦКИЙ ЛЕСОМЕХАНИЧЕСКИЙ ТЕХНИКУМ ИМ. В.П. ЧКАЛОВА»</w:t>
      </w:r>
    </w:p>
    <w:p w14:paraId="763EA10D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1BB26D8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17C76985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D93E3D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B0DA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</w:t>
      </w:r>
    </w:p>
    <w:p w14:paraId="624AC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«Построение диаграмм вариантов использования»</w:t>
      </w:r>
    </w:p>
    <w:p w14:paraId="65A3D4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«Архитектура системы автоматизации маркетинга»</w:t>
      </w:r>
    </w:p>
    <w:p w14:paraId="6699B83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C295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DD77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A178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FBB05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DBB10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ED9CC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E1BD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52E8A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CF2E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832C18">
      <w:pPr>
        <w:ind w:left="0" w:leftChars="0" w:firstLine="0" w:firstLineChars="0"/>
        <w:jc w:val="both"/>
        <w:rPr>
          <w:rFonts w:ascii="Times New Roman" w:hAnsi="Times New Roman" w:cs="Times New Roman"/>
          <w:sz w:val="28"/>
          <w:szCs w:val="28"/>
        </w:rPr>
      </w:pPr>
    </w:p>
    <w:p w14:paraId="602D1736">
      <w:pPr>
        <w:rPr>
          <w:rFonts w:ascii="Times New Roman" w:hAnsi="Times New Roman" w:cs="Times New Roman"/>
          <w:sz w:val="28"/>
          <w:szCs w:val="28"/>
        </w:rPr>
      </w:pPr>
    </w:p>
    <w:p w14:paraId="0D8CEA9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Богданов Николай Николаевич</w:t>
      </w:r>
    </w:p>
    <w:p w14:paraId="643B569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ИС-24</w:t>
      </w:r>
    </w:p>
    <w:p w14:paraId="3C32E39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 Станкевич Д.Д.</w:t>
      </w:r>
    </w:p>
    <w:p w14:paraId="5A5D75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1F09F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48AA8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71AF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Череповец</w:t>
      </w:r>
    </w:p>
    <w:p w14:paraId="70AD95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p w14:paraId="5796C1E6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5322989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СОДЕРЖАНИЕ</w:t>
      </w:r>
    </w:p>
    <w:sdt>
      <w:sdtPr>
        <w:rPr>
          <w:rFonts w:ascii="SimSun" w:hAnsi="SimSun" w:eastAsia="SimSun" w:cstheme="minorBidi"/>
          <w:kern w:val="2"/>
          <w:sz w:val="21"/>
          <w:szCs w:val="22"/>
          <w:lang w:val="ru-RU" w:eastAsia="en-US" w:bidi="ar-SA"/>
          <w14:ligatures w14:val="standardContextual"/>
        </w:rPr>
        <w:id w:val="147465332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 w:eastAsiaTheme="minorHAnsi"/>
          <w:kern w:val="2"/>
          <w:sz w:val="28"/>
          <w:szCs w:val="28"/>
          <w:lang w:val="ru-RU" w:eastAsia="en-US" w:bidi="ar-SA"/>
          <w14:ligatures w14:val="standardContextual"/>
        </w:rPr>
      </w:sdtEndPr>
      <w:sdtContent>
        <w:p w14:paraId="4AA6401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</w:p>
        <w:p w14:paraId="21FBF564">
          <w:pPr>
            <w:pStyle w:val="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TOC \o "1-1" \h \u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_Toc18746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Введение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_Toc18746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6DFF65A7">
          <w:pPr>
            <w:pStyle w:val="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_Toc18213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2. Теоретическая часть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_Toc18213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0EA13BB8">
          <w:pPr>
            <w:pStyle w:val="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_Toc22468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 Практическая часть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_Toc22468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F50B7D3">
          <w:pPr>
            <w:pStyle w:val="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_Toc5749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3.1. Акторы системы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_Toc5749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1C204999">
          <w:pPr>
            <w:pStyle w:val="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_Toc6564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3.2. Варианты использования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_Toc6564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39E21747">
          <w:pPr>
            <w:pStyle w:val="9"/>
            <w:tabs>
              <w:tab w:val="right" w:leader="dot" w:pos="9355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_Toc24451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4. Заключение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_Toc24451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473ECEC6">
          <w:pPr>
            <w:pStyle w:val="9"/>
            <w:tabs>
              <w:tab w:val="right" w:leader="dot" w:pos="9355"/>
            </w:tabs>
          </w:pP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HYPERLINK \l _Toc14356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5. Список использованных источников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_Toc14356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10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</w:p>
        <w:p w14:paraId="78706571">
          <w:pPr>
            <w:jc w:val="both"/>
            <w:rPr>
              <w:rFonts w:hint="default" w:ascii="Times New Roman" w:hAnsi="Times New Roman" w:cs="Times New Roman" w:eastAsiaTheme="minorHAnsi"/>
              <w:kern w:val="2"/>
              <w:sz w:val="28"/>
              <w:szCs w:val="28"/>
              <w:lang w:val="ru-RU" w:eastAsia="en-US" w:bidi="ar-SA"/>
              <w14:ligatures w14:val="standardContextual"/>
            </w:rPr>
          </w:pPr>
          <w:r>
            <w:rPr>
              <w:rFonts w:hint="default" w:ascii="Times New Roman" w:hAnsi="Times New Roman" w:cs="Times New Roman"/>
              <w:szCs w:val="28"/>
            </w:rPr>
            <w:fldChar w:fldCharType="end"/>
          </w:r>
        </w:p>
      </w:sdtContent>
    </w:sdt>
    <w:p w14:paraId="4CC8968D">
      <w:pPr>
        <w:jc w:val="center"/>
        <w:rPr>
          <w:rFonts w:hint="default" w:ascii="Times New Roman" w:hAnsi="Times New Roman" w:cs="Times New Roman" w:eastAsiaTheme="minorHAnsi"/>
          <w:kern w:val="2"/>
          <w:sz w:val="22"/>
          <w:szCs w:val="28"/>
          <w:lang w:val="ru-RU" w:eastAsia="en-US" w:bidi="ar-SA"/>
          <w14:ligatures w14:val="standardContextual"/>
        </w:rPr>
      </w:pPr>
    </w:p>
    <w:p w14:paraId="56E4E14B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F0156DC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28387EA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997DD4C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47DD177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07C4A4E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DC8FF50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15DF3E9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0F2832E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D2FA298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8D0C520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4DAFAB4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FDBB2B2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59D4C3D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9CA34A5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CE7E8D9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7BEB1E95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8B59D52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6674A6D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1B250EA">
      <w:pPr>
        <w:jc w:val="left"/>
        <w:rPr>
          <w:rFonts w:hint="default" w:ascii="Times New Roman" w:hAnsi="Times New Roman" w:cs="Times New Roman"/>
          <w:sz w:val="28"/>
          <w:szCs w:val="28"/>
        </w:rPr>
        <w:sectPr>
          <w:footerReference r:id="rId5" w:type="default"/>
          <w:pgSz w:w="11906" w:h="16838"/>
          <w:pgMar w:top="1134" w:right="850" w:bottom="1134" w:left="1701" w:header="708" w:footer="708" w:gutter="0"/>
          <w:pgNumType w:start="1"/>
          <w:cols w:space="708" w:num="1"/>
          <w:docGrid w:linePitch="360" w:charSpace="0"/>
        </w:sectPr>
      </w:pPr>
    </w:p>
    <w:p w14:paraId="01E01423">
      <w:pPr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2068127">
      <w:pPr>
        <w:jc w:val="center"/>
        <w:rPr>
          <w:rStyle w:val="11"/>
          <w:rFonts w:hint="default"/>
        </w:rPr>
      </w:pPr>
      <w:bookmarkStart w:id="0" w:name="_Toc18746"/>
      <w:r>
        <w:rPr>
          <w:rStyle w:val="11"/>
          <w:rFonts w:hint="default"/>
        </w:rPr>
        <w:t>Введение</w:t>
      </w:r>
    </w:p>
    <w:bookmarkEnd w:id="0"/>
    <w:p w14:paraId="4AEB32E3">
      <w:pPr>
        <w:jc w:val="center"/>
        <w:rPr>
          <w:rStyle w:val="11"/>
          <w:rFonts w:hint="default"/>
        </w:rPr>
      </w:pPr>
    </w:p>
    <w:p w14:paraId="5E98637F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работы: освоить методы проектирования программного обеспечения с использованием диаграмм вариантов использования и диаграмм взаимодействия на примере системы автоматизации маркетинга. В современном мире цифровые технологии глубоко проникли в сферу маркетинга, и автоматизация маркетинговых процессов становится неотъемлемой частью успешного бизнеса. Особое значение имеет автоматизация организации и проведения вебинаров — эффективного инструмента взаимодействия с потенциальными и существующими клиентами.</w:t>
      </w:r>
    </w:p>
    <w:p w14:paraId="502DA914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52B215C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задачи работы: изучить теоретические основы UML-проектирования и метод CRC-карт; определить ключевых участников системы (акторов) и основные сценарии их взаимодействия; построить наглядную диаграмму вариантов использования, отражающую функциональные возможности системы; разработать диаграмму взаимодействия, показывающую последовательность действий между участниками системы; проанализировать полученные результаты и сделать выводы о полноте и согласованности спроектированной системы.</w:t>
      </w:r>
    </w:p>
    <w:p w14:paraId="734DB4F9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A66D581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Актуальность работы обусловлена растущей потребностью предприятий в эффективных системах автоматизации маркетинга, которые позволяют оптимизировать процессы взаимодействия с клиентами, повышать качество маркетинговых мероприятий и анализировать их эффективность.</w:t>
      </w:r>
    </w:p>
    <w:p w14:paraId="53920A5A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1AE95E4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122D8BD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2BA9813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729D888">
      <w:pPr>
        <w:ind w:left="0" w:leftChars="0" w:firstLine="0" w:firstLineChars="0"/>
        <w:rPr>
          <w:rFonts w:hint="default"/>
        </w:rPr>
      </w:pPr>
      <w:bookmarkStart w:id="7" w:name="_GoBack"/>
      <w:bookmarkEnd w:id="7"/>
    </w:p>
    <w:p w14:paraId="3E9F0D9C">
      <w:pPr>
        <w:pStyle w:val="2"/>
        <w:numPr>
          <w:ilvl w:val="0"/>
          <w:numId w:val="1"/>
        </w:numPr>
        <w:bidi w:val="0"/>
        <w:rPr>
          <w:rFonts w:hint="default"/>
        </w:rPr>
      </w:pPr>
      <w:bookmarkStart w:id="1" w:name="_Toc18213"/>
      <w:r>
        <w:rPr>
          <w:rFonts w:hint="default"/>
        </w:rPr>
        <w:t>Теоретическая часть</w:t>
      </w:r>
      <w:bookmarkEnd w:id="1"/>
    </w:p>
    <w:p w14:paraId="4D0E4131">
      <w:pPr>
        <w:rPr>
          <w:rFonts w:hint="default"/>
        </w:rPr>
      </w:pPr>
    </w:p>
    <w:p w14:paraId="59719E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350" w:firstLineChars="125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основе проектирования современных программных систем лежат различные методологии и подходы, среди которых важное место занимает объектно-ориентированное проектирование. Одним из эффективных методов мозгового штурма при проектировании является метод CRC-карт (Class-responsibility-collaboration card), который помогает выявить основные классы системы, их ответственность и взаимодействие между ними. Этот метод особенно полезен на начальных этапах проектирования, когда необходимо понять общую структуру будущей системы.</w:t>
      </w:r>
    </w:p>
    <w:p w14:paraId="11FE030D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F511F9E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Важным этапом создания программного обеспечения является проектирование архитектуры системы. Для этого широко используется унифицированный язык моделирования UML, который предоставляет стандартизированные способы визуализации системы в различных аспектах. Сначала строится диаграмма вариантов использования, на которой выявляются акторы (внешние сущности, взаимодействующие с системой) и прецеденты (действия, выполняемые системой). Эта диаграмма помогает понять, что будет делать система и как она будет функционировать, а также служит отличным инструментом для общения с заказчиком.</w:t>
      </w:r>
    </w:p>
    <w:p w14:paraId="1DD1AAE6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EAB1B85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следующем этапе проектирования выявляются классы, которые необходимо создать в программе для реализации системы. Для этого используются CRC-карты, где для каждого класса определяются действия, которые он выполняет, и другие классы, с которыми он взаимодействует. После определения классов строится диаграмма взаимодействия, которая позволяет проверить достаточность и корректность взаимодействия между классами, отображая последовательность сообщений между объектами системы.</w:t>
      </w:r>
    </w:p>
    <w:p w14:paraId="20F3CAC8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0D4874A">
      <w:pPr>
        <w:ind w:left="0" w:leftChars="0" w:firstLine="0" w:firstLine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64283A3">
      <w:pPr>
        <w:pStyle w:val="2"/>
        <w:numPr>
          <w:ilvl w:val="0"/>
          <w:numId w:val="2"/>
        </w:numPr>
        <w:bidi w:val="0"/>
        <w:rPr>
          <w:rFonts w:hint="default"/>
        </w:rPr>
      </w:pPr>
      <w:bookmarkStart w:id="2" w:name="_Toc22468"/>
      <w:r>
        <w:rPr>
          <w:rFonts w:hint="default"/>
        </w:rPr>
        <w:t>Практическая часть</w:t>
      </w:r>
      <w:bookmarkEnd w:id="2"/>
    </w:p>
    <w:p w14:paraId="0A06C664">
      <w:pPr>
        <w:numPr>
          <w:numId w:val="0"/>
        </w:numPr>
        <w:rPr>
          <w:rFonts w:hint="default"/>
        </w:rPr>
      </w:pPr>
    </w:p>
    <w:p w14:paraId="37F559F3">
      <w:pPr>
        <w:pStyle w:val="2"/>
        <w:bidi w:val="0"/>
        <w:rPr>
          <w:rFonts w:hint="default"/>
        </w:rPr>
      </w:pPr>
      <w:bookmarkStart w:id="3" w:name="_Toc5749"/>
      <w:r>
        <w:rPr>
          <w:rFonts w:hint="default"/>
        </w:rPr>
        <w:t>3.1. Акторы системы</w:t>
      </w:r>
      <w:bookmarkEnd w:id="3"/>
    </w:p>
    <w:p w14:paraId="72068F01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A8773BB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системе автоматизации маркетинга, ориентированной на организацию вебинаров, были выявлены следующие ключевые акторы:</w:t>
      </w:r>
    </w:p>
    <w:p w14:paraId="6EAFF53D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1A33A6D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Маркетолог — основной пользователь системы, сотрудник компании, отвечающий за организацию и проведение маркетинговых мероприятий. В его обязанности входит создание вебинаров, их анонсирование, проведение онлайн-трансляций, анализ эффективности проведенных мероприятий и получение обратной связи от участников. Маркетолог использует систему для планирования контента, настройки параметров вебинаров и отслеживания ключевых показателей эффективности.</w:t>
      </w:r>
    </w:p>
    <w:p w14:paraId="1ABD2827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0D76AC6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Участник — клиент или потенциальный клиент компании, который регистрируется на вебинар и принимает участие в онлайн-мероприятии. Участник взаимодействует с системой через веб-интерфейс: проходит регистрацию, получает уведомления и напоминания о предстоящем вебинаре, участвует в трансляции в реальном времени, задает вопросы, получает запись вебинара после его окончания и оставляет обратную связь о качестве проведенного мероприятия.</w:t>
      </w:r>
    </w:p>
    <w:p w14:paraId="32D8E323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A6E15C6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CRM-система — важный внешний компонент, система управления взаимоотношениями с клиентами, которая интегрируется с основной системой автоматизации маркетинга. CRM-система хранит базу данных участников, управляет процессом регистрации на вебинары, отслеживает активность пользователей и формирует аналитические отчеты для маркетолога. Интеграция с CRM позволяет автоматизировать процессы сбора и анализа данных о клиентах.</w:t>
      </w:r>
    </w:p>
    <w:p w14:paraId="6ABE8121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85E09DC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рассылок — автоматизированный сервис, отвечающий за отправку уведомлений и коммуникацию с участниками. Эта система отправляет приглашения на вебинары, рассылает напоминания о предстоящих мероприятиях, направляет ссылки на записи прошедших вебинаров и собирает обратную связь через автоматизированные опросы. Система рассылок обеспечивает своевременное информирование участников и поддерживает постоянный контакт с аудиторией.</w:t>
      </w:r>
    </w:p>
    <w:p w14:paraId="254C9CC6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C3DEABE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A85C8C5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21F3655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EEE3B77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A70AB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6F0870C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C20BFE0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D01A87B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D504313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4105E71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72030E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9C331A9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A805C86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6F42DD8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3BB1355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84E3701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161C2E7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747EDB2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F1EB4AA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0D95945">
      <w:pPr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1FF4A0A">
      <w:pPr>
        <w:pStyle w:val="2"/>
        <w:bidi w:val="0"/>
        <w:rPr>
          <w:rFonts w:hint="default"/>
        </w:rPr>
      </w:pPr>
      <w:bookmarkStart w:id="4" w:name="_Toc6564"/>
      <w:r>
        <w:rPr>
          <w:rFonts w:hint="default"/>
        </w:rPr>
        <w:t>3.2. Варианты использования</w:t>
      </w:r>
      <w:bookmarkEnd w:id="4"/>
    </w:p>
    <w:p w14:paraId="79F7878B">
      <w:pPr>
        <w:rPr>
          <w:rFonts w:hint="default"/>
        </w:rPr>
      </w:pPr>
    </w:p>
    <w:p w14:paraId="0B42F0B5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системы автоматизации маркетинга были определены следующие основные варианты использования:</w:t>
      </w:r>
    </w:p>
    <w:p w14:paraId="7DF53B00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4CFCE22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вебинар — маркетолог создает новое мероприятие, устанавливает его параметры: тему, дату и время проведения, длительность, список спикеров, целевая аудитория, максимальное количество участников. Система предоставляет интерфейс для ввода всей необходимой информации и сохраняет данные о вебинаре.</w:t>
      </w:r>
    </w:p>
    <w:p w14:paraId="553A6A1D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06614A1F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Анонсировать вебинар — система автоматически создает анонс мероприятия и распространяет его через различные каналы коммуникации: email-рассылки, социальные сети, сайт компании. Маркетолог может настроить шаблоны анонсов и выбрать целевые аудитории для рассылки.</w:t>
      </w:r>
    </w:p>
    <w:p w14:paraId="49981508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17B59198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Провести вебинар — в установленное время система открывает доступ к онлайн-трансляции, предоставляет инструменты для демонстрации презентаций, видео и других материалов, обеспечивает возможность взаимодействия спикера с участниками через чат, вопросы и ответы, опросы в реальном времени.</w:t>
      </w:r>
    </w:p>
    <w:p w14:paraId="5216F48A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56FE6A01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Анализировать эффективность — после завершения вебинара система собирает статистические данные: количество зарегистрированных участников, количество фактически присутствовавших, длительность присутствия каждого участника, активность в чате, результаты опросов. На основе этих данных формируются отчеты и аналитические выкладки.</w:t>
      </w:r>
    </w:p>
    <w:p w14:paraId="4D33EABF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0598CB1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Зарегистрироваться на вебинар — потенциальный участник заполняет регистрационную форму, указывая свои контактные данные и дополнительную информацию. Система проверяет корректность данных, сохраняет информацию в CRM и отправляет подтверждение регистрации.</w:t>
      </w:r>
    </w:p>
    <w:p w14:paraId="542FE8A4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467D1CFF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Участвовать в вебинаре — зарегистрированный участник входит в систему в время проведения вебинара, просматривает трансляцию, взаимодействует с спикером и другими участниками через доступные инструменты коммуникации.</w:t>
      </w:r>
    </w:p>
    <w:p w14:paraId="69EB4E7E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295247BB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Отправить напоминание — система автоматически отправляет напоминания о предстоящем вебинаре за определенный промежуток времени до начала мероприятия (например, за 1 день и за 1 час). Напоминания рассылаются через email и push-уведомления.</w:t>
      </w:r>
    </w:p>
    <w:p w14:paraId="0ABB0774">
      <w:pPr>
        <w:pStyle w:val="2"/>
        <w:bidi w:val="0"/>
        <w:outlineLvl w:val="9"/>
        <w:rPr>
          <w:rFonts w:hint="default"/>
        </w:rPr>
      </w:pPr>
    </w:p>
    <w:p w14:paraId="4ABF9FDF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Отправить запись вебинара — после завершения вебинара система автоматически обрабатывает запись трансляции, размещает ее на хостинге и рассылает ссылку на запись всем зарегистрированным участникам, включая тех, кто не смог присутствовать на live-трансляции.</w:t>
      </w:r>
    </w:p>
    <w:p w14:paraId="12264B06">
      <w:pPr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653DE662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Собрать фидбэк — система автоматически отправляет участникам опросы для сбора обратной связи о качестве вебинара, содержании материала, работе спикера. Полученные ответы анализируются и предоставляются маркетологу в виде сводного отчета.</w:t>
      </w:r>
    </w:p>
    <w:p w14:paraId="4F958A8B">
      <w:pPr>
        <w:jc w:val="center"/>
        <w:rPr>
          <w:rFonts w:hint="default" w:ascii="Times New Roman" w:hAnsi="Times New Roman"/>
          <w:sz w:val="28"/>
          <w:szCs w:val="28"/>
        </w:rPr>
      </w:pPr>
    </w:p>
    <w:p w14:paraId="0D91898E">
      <w:pPr>
        <w:jc w:val="center"/>
        <w:rPr>
          <w:rFonts w:hint="default" w:ascii="Times New Roman" w:hAnsi="Times New Roman"/>
          <w:sz w:val="28"/>
          <w:szCs w:val="28"/>
        </w:rPr>
      </w:pPr>
    </w:p>
    <w:p w14:paraId="744ED261">
      <w:pPr>
        <w:jc w:val="center"/>
        <w:rPr>
          <w:rFonts w:hint="default" w:ascii="Times New Roman" w:hAnsi="Times New Roman"/>
          <w:sz w:val="28"/>
          <w:szCs w:val="28"/>
        </w:rPr>
      </w:pPr>
    </w:p>
    <w:p w14:paraId="57DBC146">
      <w:pPr>
        <w:jc w:val="center"/>
        <w:rPr>
          <w:rFonts w:hint="default" w:ascii="Times New Roman" w:hAnsi="Times New Roman"/>
          <w:sz w:val="28"/>
          <w:szCs w:val="28"/>
        </w:rPr>
      </w:pPr>
    </w:p>
    <w:p w14:paraId="1C82C549">
      <w:pPr>
        <w:jc w:val="center"/>
        <w:rPr>
          <w:rFonts w:hint="default" w:ascii="Times New Roman" w:hAnsi="Times New Roman"/>
          <w:sz w:val="28"/>
          <w:szCs w:val="28"/>
        </w:rPr>
      </w:pPr>
    </w:p>
    <w:p w14:paraId="1EB1C6B4">
      <w:pPr>
        <w:jc w:val="center"/>
        <w:rPr>
          <w:rFonts w:hint="default" w:ascii="Times New Roman" w:hAnsi="Times New Roman"/>
          <w:sz w:val="28"/>
          <w:szCs w:val="28"/>
        </w:rPr>
      </w:pPr>
    </w:p>
    <w:p w14:paraId="75239B4E">
      <w:pPr>
        <w:ind w:left="0" w:leftChars="0" w:firstLine="0" w:firstLineChars="0"/>
        <w:jc w:val="both"/>
        <w:rPr>
          <w:rFonts w:hint="default" w:ascii="Times New Roman" w:hAnsi="Times New Roman"/>
          <w:sz w:val="28"/>
          <w:szCs w:val="28"/>
        </w:rPr>
      </w:pPr>
    </w:p>
    <w:p w14:paraId="2043B6B5">
      <w:pPr>
        <w:pStyle w:val="2"/>
        <w:numPr>
          <w:ilvl w:val="0"/>
          <w:numId w:val="2"/>
        </w:numPr>
        <w:bidi w:val="0"/>
        <w:ind w:left="0" w:leftChars="0" w:firstLine="350" w:firstLineChars="125"/>
        <w:rPr>
          <w:rFonts w:hint="default"/>
        </w:rPr>
      </w:pPr>
      <w:bookmarkStart w:id="5" w:name="_Toc24451"/>
      <w:r>
        <w:rPr>
          <w:rFonts w:hint="default"/>
        </w:rPr>
        <w:t>Заключение</w:t>
      </w:r>
      <w:bookmarkEnd w:id="5"/>
    </w:p>
    <w:p w14:paraId="4491FAB9">
      <w:pPr>
        <w:numPr>
          <w:numId w:val="0"/>
        </w:numPr>
        <w:ind w:leftChars="125"/>
        <w:rPr>
          <w:rFonts w:hint="default"/>
        </w:rPr>
      </w:pPr>
    </w:p>
    <w:p w14:paraId="3E1EC14F">
      <w:pPr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В ходе выполнения практической работы были успешно изучены основы UML-проектирования и метод CRC-карт. Была спроектирована архитектура системы автоматизации маркетинга, ориентированной на организацию и проведение вебинаров. Определены ключевые акторы системы: маркетолог, участник, CRM-система и система рассылок. Для каждого актора выявлены основные сценарии взаимодействия с системой.</w:t>
      </w:r>
    </w:p>
    <w:p w14:paraId="480A771C">
      <w:pPr>
        <w:jc w:val="left"/>
        <w:rPr>
          <w:rFonts w:hint="default" w:ascii="Times New Roman" w:hAnsi="Times New Roman"/>
          <w:sz w:val="28"/>
          <w:szCs w:val="28"/>
        </w:rPr>
      </w:pPr>
    </w:p>
    <w:p w14:paraId="665AD2B4">
      <w:pPr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Построены диаграммы вариантов использования и взаимодействия, которые наглядно демонстрируют функциональные возможности системы и последовательность взаимодействия между участниками. Диаграммы построены с соблюдением требований ГОСТ и отличаются аккуратностью исполнения.</w:t>
      </w:r>
    </w:p>
    <w:p w14:paraId="3D11C22D">
      <w:pPr>
        <w:jc w:val="left"/>
        <w:rPr>
          <w:rFonts w:hint="default" w:ascii="Times New Roman" w:hAnsi="Times New Roman"/>
          <w:sz w:val="28"/>
          <w:szCs w:val="28"/>
        </w:rPr>
      </w:pPr>
    </w:p>
    <w:p w14:paraId="2596172E">
      <w:pPr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Проведенный анализ показал, что спроектированная система обладает достаточной полнотой функциональности для решения задач автоматизации маркетинговых процессов, связанных с организацией вебинаров. Все поставленные цели работы достигнуты, задачи выполнены в полном объеме. Полученные знания и навыки могут быть применены в дальнейшем при проектировании более сложных программных систем.</w:t>
      </w:r>
    </w:p>
    <w:p w14:paraId="7E312D80">
      <w:pPr>
        <w:jc w:val="center"/>
        <w:rPr>
          <w:rFonts w:hint="default" w:ascii="Times New Roman" w:hAnsi="Times New Roman"/>
          <w:sz w:val="28"/>
          <w:szCs w:val="28"/>
        </w:rPr>
      </w:pPr>
    </w:p>
    <w:p w14:paraId="7D4F8904">
      <w:pPr>
        <w:jc w:val="center"/>
        <w:rPr>
          <w:rFonts w:hint="default" w:ascii="Times New Roman" w:hAnsi="Times New Roman"/>
          <w:sz w:val="28"/>
          <w:szCs w:val="28"/>
        </w:rPr>
      </w:pPr>
    </w:p>
    <w:p w14:paraId="7FA39AE0">
      <w:pPr>
        <w:jc w:val="center"/>
        <w:rPr>
          <w:rFonts w:hint="default" w:ascii="Times New Roman" w:hAnsi="Times New Roman"/>
          <w:sz w:val="28"/>
          <w:szCs w:val="28"/>
        </w:rPr>
      </w:pPr>
    </w:p>
    <w:p w14:paraId="00A27906">
      <w:pPr>
        <w:jc w:val="center"/>
        <w:rPr>
          <w:rFonts w:hint="default" w:ascii="Times New Roman" w:hAnsi="Times New Roman"/>
          <w:sz w:val="28"/>
          <w:szCs w:val="28"/>
        </w:rPr>
      </w:pPr>
    </w:p>
    <w:p w14:paraId="4B536670">
      <w:pPr>
        <w:jc w:val="center"/>
        <w:rPr>
          <w:rFonts w:hint="default" w:ascii="Times New Roman" w:hAnsi="Times New Roman"/>
          <w:sz w:val="28"/>
          <w:szCs w:val="28"/>
        </w:rPr>
      </w:pPr>
    </w:p>
    <w:p w14:paraId="274709E9">
      <w:pPr>
        <w:jc w:val="center"/>
        <w:rPr>
          <w:rFonts w:hint="default" w:ascii="Times New Roman" w:hAnsi="Times New Roman"/>
          <w:sz w:val="28"/>
          <w:szCs w:val="28"/>
        </w:rPr>
      </w:pPr>
    </w:p>
    <w:p w14:paraId="6D9C8741">
      <w:pPr>
        <w:pStyle w:val="2"/>
        <w:bidi w:val="0"/>
        <w:ind w:left="0" w:leftChars="0" w:firstLine="0" w:firstLineChars="0"/>
        <w:jc w:val="both"/>
        <w:outlineLvl w:val="9"/>
        <w:rPr>
          <w:rFonts w:hint="default"/>
        </w:rPr>
      </w:pPr>
    </w:p>
    <w:p w14:paraId="79F1C352">
      <w:pPr>
        <w:rPr>
          <w:rFonts w:hint="default"/>
        </w:rPr>
      </w:pPr>
    </w:p>
    <w:p w14:paraId="642CDB37">
      <w:pPr>
        <w:pStyle w:val="2"/>
        <w:bidi w:val="0"/>
        <w:rPr>
          <w:rFonts w:hint="default"/>
        </w:rPr>
      </w:pPr>
      <w:bookmarkStart w:id="6" w:name="_Toc14356"/>
      <w:r>
        <w:rPr>
          <w:rFonts w:hint="default"/>
        </w:rPr>
        <w:t>5. Список использованных источников</w:t>
      </w:r>
      <w:bookmarkEnd w:id="6"/>
    </w:p>
    <w:p w14:paraId="598752A5">
      <w:pPr>
        <w:jc w:val="left"/>
        <w:rPr>
          <w:rFonts w:hint="default"/>
        </w:rPr>
      </w:pPr>
    </w:p>
    <w:p w14:paraId="6FC14881">
      <w:pPr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Методические указания по выполнению практических работ по дисциплине "Проектирование информационных систем"</w:t>
      </w:r>
    </w:p>
    <w:p w14:paraId="6C22A5F4">
      <w:pPr>
        <w:jc w:val="left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Ресурс для построения диаграмм: https://app.diagrams.net/</w:t>
      </w:r>
    </w:p>
    <w:p w14:paraId="301ACE06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Материалы лекций по проектированию программного обеспечения</w:t>
      </w:r>
    </w:p>
    <w:sectPr>
      <w:footerReference r:id="rId6" w:type="default"/>
      <w:pgSz w:w="11906" w:h="16838"/>
      <w:pgMar w:top="1134" w:right="850" w:bottom="1134" w:left="1701" w:header="708" w:footer="708" w:gutter="0"/>
      <w:pgNumType w:fmt="decimal"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275"/>
      </w:pPr>
      <w:r>
        <w:separator/>
      </w:r>
    </w:p>
  </w:endnote>
  <w:endnote w:type="continuationSeparator" w:id="1">
    <w:p>
      <w:pPr>
        <w:spacing w:line="240" w:lineRule="auto"/>
        <w:ind w:firstLine="275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+Заголовок (восточно-азиатское письмо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Заголовок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Основной текст (восточно-азиатское письмо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Основной текст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80CA6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C4D38">
    <w:pPr>
      <w:pStyle w:val="10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13E960">
                          <w:pPr>
                            <w:pStyle w:val="1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ANI9ul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013E960">
                    <w:pPr>
                      <w:pStyle w:val="1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275"/>
      </w:pPr>
      <w:r>
        <w:separator/>
      </w:r>
    </w:p>
  </w:footnote>
  <w:footnote w:type="continuationSeparator" w:id="1">
    <w:p>
      <w:pPr>
        <w:spacing w:line="360" w:lineRule="auto"/>
        <w:ind w:firstLine="275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543F8A"/>
    <w:multiLevelType w:val="singleLevel"/>
    <w:tmpl w:val="0F543F8A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3E9F2815"/>
    <w:multiLevelType w:val="singleLevel"/>
    <w:tmpl w:val="3E9F2815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82C"/>
    <w:rsid w:val="00124463"/>
    <w:rsid w:val="002920C5"/>
    <w:rsid w:val="0030121D"/>
    <w:rsid w:val="00393A0D"/>
    <w:rsid w:val="003F39F5"/>
    <w:rsid w:val="004E693D"/>
    <w:rsid w:val="0059382C"/>
    <w:rsid w:val="005B325A"/>
    <w:rsid w:val="005E4B0E"/>
    <w:rsid w:val="007C149B"/>
    <w:rsid w:val="00B9246F"/>
    <w:rsid w:val="00E01A66"/>
    <w:rsid w:val="00F165A3"/>
    <w:rsid w:val="00F55698"/>
    <w:rsid w:val="56C63C6F"/>
    <w:rsid w:val="64BB5007"/>
    <w:rsid w:val="7125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350" w:firstLineChars="125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after="0" w:line="360" w:lineRule="auto"/>
      <w:jc w:val="center"/>
      <w:outlineLvl w:val="0"/>
    </w:pPr>
    <w:rPr>
      <w:rFonts w:asciiTheme="majorAscii" w:hAnsiTheme="majorAsci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3">
    <w:name w:val="heading 4"/>
    <w:basedOn w:val="1"/>
    <w:link w:val="12"/>
    <w:qFormat/>
    <w:uiPriority w:val="9"/>
    <w:pPr>
      <w:spacing w:before="100" w:beforeAutospacing="1" w:after="100" w:afterAutospacing="1"/>
      <w:outlineLvl w:val="3"/>
    </w:pPr>
    <w:rPr>
      <w:rFonts w:ascii="Times New Roman" w:hAnsi="Times New Roman" w:eastAsia="Times New Roman" w:cs="Times New Roman"/>
      <w:b/>
      <w:bCs/>
      <w:kern w:val="0"/>
      <w:sz w:val="24"/>
      <w:szCs w:val="24"/>
      <w:lang w:eastAsia="zh-CN"/>
      <w14:ligatures w14:val="non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paragraph" w:styleId="7">
    <w:name w:val="Balloon Text"/>
    <w:basedOn w:val="1"/>
    <w:link w:val="14"/>
    <w:semiHidden/>
    <w:unhideWhenUsed/>
    <w:qFormat/>
    <w:uiPriority w:val="99"/>
    <w:pPr>
      <w:spacing w:after="0"/>
    </w:pPr>
    <w:rPr>
      <w:rFonts w:ascii="Tahoma" w:hAnsi="Tahoma" w:cs="Tahoma"/>
      <w:sz w:val="16"/>
      <w:szCs w:val="16"/>
    </w:rPr>
  </w:style>
  <w:style w:type="paragraph" w:styleId="8">
    <w:name w:val="head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toc 1"/>
    <w:basedOn w:val="1"/>
    <w:next w:val="1"/>
    <w:semiHidden/>
    <w:unhideWhenUsed/>
    <w:uiPriority w:val="39"/>
  </w:style>
  <w:style w:type="paragraph" w:styleId="10">
    <w:name w:val="footer"/>
    <w:basedOn w:val="1"/>
    <w:semiHidden/>
    <w:unhideWhenUsed/>
    <w:uiPriority w:val="99"/>
    <w:pPr>
      <w:tabs>
        <w:tab w:val="center" w:pos="4153"/>
        <w:tab w:val="right" w:pos="8306"/>
      </w:tabs>
    </w:pPr>
  </w:style>
  <w:style w:type="character" w:customStyle="1" w:styleId="11">
    <w:name w:val="Заголовок 1 Знак"/>
    <w:basedOn w:val="4"/>
    <w:link w:val="2"/>
    <w:qFormat/>
    <w:uiPriority w:val="9"/>
    <w:rPr>
      <w:rFonts w:asciiTheme="majorAscii" w:hAnsiTheme="majorAscii" w:eastAsiaTheme="majorEastAsia" w:cstheme="majorBidi"/>
      <w:color w:val="000000" w:themeColor="text1"/>
      <w:kern w:val="2"/>
      <w:sz w:val="28"/>
      <w:szCs w:val="28"/>
      <w:lang w:eastAsia="en-US"/>
      <w14:textFill>
        <w14:solidFill>
          <w14:schemeClr w14:val="tx1"/>
        </w14:solidFill>
      </w14:textFill>
      <w14:ligatures w14:val="standardContextual"/>
    </w:rPr>
  </w:style>
  <w:style w:type="character" w:customStyle="1" w:styleId="12">
    <w:name w:val="Заголовок 4 Знак"/>
    <w:basedOn w:val="4"/>
    <w:link w:val="3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Текст выноски Знак"/>
    <w:basedOn w:val="4"/>
    <w:link w:val="7"/>
    <w:semiHidden/>
    <w:qFormat/>
    <w:uiPriority w:val="99"/>
    <w:rPr>
      <w:rFonts w:ascii="Tahoma" w:hAnsi="Tahoma" w:cs="Tahoma"/>
      <w:kern w:val="2"/>
      <w:sz w:val="16"/>
      <w:szCs w:val="16"/>
      <w:lang w:eastAsia="en-US"/>
      <w14:ligatures w14:val="standardContextual"/>
    </w:rPr>
  </w:style>
  <w:style w:type="paragraph" w:customStyle="1" w:styleId="15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56</Words>
  <Characters>321</Characters>
  <Lines>2</Lines>
  <Paragraphs>1</Paragraphs>
  <TotalTime>2</TotalTime>
  <ScaleCrop>false</ScaleCrop>
  <LinksUpToDate>false</LinksUpToDate>
  <CharactersWithSpaces>376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2025-10-29T09:39:00Z</dcterms:created>
  <dc:creator>as11</dc:creator>
  <cp:lastModifiedBy>Николай Богдано�</cp:lastModifiedBy>
  <dcterms:modified xsi:type="dcterms:W3CDTF">2025-11-12T21:26:56Z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509753B7BF3E48918E0FA148516BA5E8_12</vt:lpwstr>
  </property>
</Properties>
</file>