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04438" w14:textId="77777777" w:rsidR="00363653" w:rsidRDefault="00363653" w:rsidP="00773183">
      <w:pPr>
        <w:spacing w:after="0"/>
        <w:ind w:left="-720" w:right="-720"/>
        <w:jc w:val="center"/>
        <w:rPr>
          <w:b/>
          <w:bCs/>
          <w:sz w:val="28"/>
          <w:szCs w:val="28"/>
        </w:rPr>
      </w:pPr>
    </w:p>
    <w:p w14:paraId="586BCC20" w14:textId="77777777" w:rsidR="00363653" w:rsidRDefault="00363653" w:rsidP="00773183">
      <w:pPr>
        <w:spacing w:after="0"/>
        <w:ind w:left="-720" w:right="-720"/>
        <w:jc w:val="center"/>
        <w:rPr>
          <w:b/>
          <w:bCs/>
          <w:sz w:val="28"/>
          <w:szCs w:val="28"/>
        </w:rPr>
      </w:pPr>
    </w:p>
    <w:p w14:paraId="45EE5C46" w14:textId="77777777" w:rsidR="00363653" w:rsidRDefault="00363653" w:rsidP="00773183">
      <w:pPr>
        <w:spacing w:after="0"/>
        <w:ind w:left="-720" w:right="-720"/>
        <w:jc w:val="center"/>
        <w:rPr>
          <w:b/>
          <w:bCs/>
          <w:sz w:val="28"/>
          <w:szCs w:val="28"/>
        </w:rPr>
      </w:pPr>
    </w:p>
    <w:p w14:paraId="6D8B76E3" w14:textId="77777777" w:rsidR="00363653" w:rsidRDefault="00363653" w:rsidP="00773183">
      <w:pPr>
        <w:spacing w:after="0"/>
        <w:ind w:left="-720" w:right="-720"/>
        <w:jc w:val="center"/>
        <w:rPr>
          <w:b/>
          <w:bCs/>
          <w:sz w:val="28"/>
          <w:szCs w:val="28"/>
        </w:rPr>
      </w:pPr>
    </w:p>
    <w:p w14:paraId="73EFDFCD" w14:textId="77777777" w:rsidR="00363653" w:rsidRDefault="00363653" w:rsidP="00773183">
      <w:pPr>
        <w:spacing w:after="0"/>
        <w:ind w:left="-720" w:right="-720"/>
        <w:jc w:val="center"/>
        <w:rPr>
          <w:b/>
          <w:bCs/>
          <w:sz w:val="28"/>
          <w:szCs w:val="28"/>
        </w:rPr>
      </w:pPr>
    </w:p>
    <w:p w14:paraId="7407738F" w14:textId="77777777" w:rsidR="00363653" w:rsidRDefault="00363653" w:rsidP="00773183">
      <w:pPr>
        <w:spacing w:after="0"/>
        <w:ind w:left="-720" w:right="-720"/>
        <w:jc w:val="center"/>
        <w:rPr>
          <w:b/>
          <w:bCs/>
          <w:sz w:val="28"/>
          <w:szCs w:val="28"/>
        </w:rPr>
      </w:pPr>
    </w:p>
    <w:p w14:paraId="78A9167F" w14:textId="77777777" w:rsidR="00363653" w:rsidRDefault="00363653" w:rsidP="00773183">
      <w:pPr>
        <w:spacing w:after="0"/>
        <w:ind w:left="-720" w:right="-720"/>
        <w:jc w:val="center"/>
        <w:rPr>
          <w:b/>
          <w:bCs/>
          <w:sz w:val="28"/>
          <w:szCs w:val="28"/>
        </w:rPr>
      </w:pPr>
    </w:p>
    <w:p w14:paraId="326BAF3F" w14:textId="77777777" w:rsidR="00363653" w:rsidRDefault="00363653" w:rsidP="00773183">
      <w:pPr>
        <w:spacing w:after="0"/>
        <w:ind w:left="-720" w:right="-720"/>
        <w:jc w:val="center"/>
        <w:rPr>
          <w:b/>
          <w:bCs/>
          <w:sz w:val="28"/>
          <w:szCs w:val="28"/>
        </w:rPr>
      </w:pPr>
    </w:p>
    <w:p w14:paraId="6A0E0DF4" w14:textId="77777777" w:rsidR="00363653" w:rsidRDefault="00363653" w:rsidP="00773183">
      <w:pPr>
        <w:spacing w:after="0"/>
        <w:ind w:left="-720" w:right="-720"/>
        <w:jc w:val="center"/>
        <w:rPr>
          <w:b/>
          <w:bCs/>
          <w:sz w:val="28"/>
          <w:szCs w:val="28"/>
        </w:rPr>
      </w:pPr>
    </w:p>
    <w:p w14:paraId="2DF0A37F" w14:textId="77777777" w:rsidR="00363653" w:rsidRDefault="00363653" w:rsidP="00773183">
      <w:pPr>
        <w:spacing w:after="0"/>
        <w:ind w:left="-720" w:right="-720"/>
        <w:jc w:val="center"/>
        <w:rPr>
          <w:b/>
          <w:bCs/>
          <w:sz w:val="28"/>
          <w:szCs w:val="28"/>
        </w:rPr>
      </w:pPr>
    </w:p>
    <w:p w14:paraId="3D372DF3" w14:textId="77777777" w:rsidR="00394A80" w:rsidRDefault="00394A80" w:rsidP="0070713A">
      <w:pPr>
        <w:ind w:left="-720" w:right="-72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A9D64F4" w14:textId="77777777" w:rsidR="00394A80" w:rsidRDefault="00394A80" w:rsidP="0070713A">
      <w:pPr>
        <w:ind w:left="-720" w:right="-72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E27FCC" w14:textId="08EA9687" w:rsidR="00363653" w:rsidRPr="003233AD" w:rsidRDefault="00363653" w:rsidP="0070713A">
      <w:pPr>
        <w:ind w:left="-720" w:right="-720"/>
        <w:jc w:val="center"/>
        <w:rPr>
          <w:rFonts w:ascii="Arial" w:hAnsi="Arial" w:cs="Arial"/>
          <w:b/>
          <w:bCs/>
          <w:sz w:val="28"/>
          <w:szCs w:val="28"/>
        </w:rPr>
      </w:pPr>
      <w:r w:rsidRPr="003233AD">
        <w:rPr>
          <w:rFonts w:ascii="Arial" w:hAnsi="Arial" w:cs="Arial"/>
          <w:b/>
          <w:bCs/>
          <w:sz w:val="28"/>
          <w:szCs w:val="28"/>
        </w:rPr>
        <w:t>Aurora Textile</w:t>
      </w:r>
    </w:p>
    <w:p w14:paraId="7DDD1811" w14:textId="69750E4D" w:rsidR="00363653" w:rsidRPr="003233AD" w:rsidRDefault="00363653" w:rsidP="00773183">
      <w:pPr>
        <w:ind w:left="-720" w:right="-720"/>
        <w:jc w:val="center"/>
        <w:rPr>
          <w:rFonts w:ascii="Arial" w:hAnsi="Arial" w:cs="Arial"/>
          <w:b/>
          <w:bCs/>
        </w:rPr>
      </w:pPr>
      <w:proofErr w:type="spellStart"/>
      <w:r w:rsidRPr="003233AD">
        <w:rPr>
          <w:rFonts w:ascii="Arial" w:hAnsi="Arial" w:cs="Arial"/>
          <w:b/>
          <w:bCs/>
        </w:rPr>
        <w:t>Zinser</w:t>
      </w:r>
      <w:proofErr w:type="spellEnd"/>
      <w:r w:rsidRPr="003233AD">
        <w:rPr>
          <w:rFonts w:ascii="Arial" w:hAnsi="Arial" w:cs="Arial"/>
          <w:b/>
          <w:bCs/>
        </w:rPr>
        <w:t xml:space="preserve"> 351 Investment Decision Analysis</w:t>
      </w:r>
    </w:p>
    <w:p w14:paraId="4AB29E3A" w14:textId="416CF362" w:rsidR="00363653" w:rsidRDefault="00363653" w:rsidP="00773183">
      <w:pPr>
        <w:ind w:left="-720" w:right="-720"/>
        <w:jc w:val="center"/>
      </w:pPr>
    </w:p>
    <w:p w14:paraId="0BC1C80D" w14:textId="48B5F8BD" w:rsidR="00363653" w:rsidRDefault="00363653" w:rsidP="00773183">
      <w:pPr>
        <w:ind w:left="-720" w:right="-720"/>
        <w:jc w:val="center"/>
      </w:pPr>
      <w:r>
        <w:t>Submitted By:</w:t>
      </w:r>
    </w:p>
    <w:p w14:paraId="08143525" w14:textId="0A476EB0" w:rsidR="00363653" w:rsidRDefault="00363653" w:rsidP="00773183">
      <w:pPr>
        <w:ind w:left="-720" w:right="-720"/>
        <w:jc w:val="center"/>
      </w:pPr>
    </w:p>
    <w:p w14:paraId="716E09C9" w14:textId="2DBFB8BD" w:rsidR="00363653" w:rsidRDefault="00363653" w:rsidP="00773183">
      <w:pPr>
        <w:ind w:left="-720" w:right="-720"/>
        <w:jc w:val="center"/>
      </w:pPr>
      <w:r>
        <w:t>Tony Trotter</w:t>
      </w:r>
    </w:p>
    <w:p w14:paraId="2F1EF9C9" w14:textId="526166AA" w:rsidR="00363653" w:rsidRDefault="00363653" w:rsidP="00773183">
      <w:pPr>
        <w:ind w:left="-720" w:right="-720"/>
        <w:jc w:val="center"/>
      </w:pPr>
    </w:p>
    <w:p w14:paraId="7DAC6F01" w14:textId="03BD159C" w:rsidR="00363653" w:rsidRDefault="00363653" w:rsidP="00773183">
      <w:pPr>
        <w:ind w:left="-720" w:right="-720"/>
        <w:jc w:val="center"/>
      </w:pPr>
      <w:r>
        <w:t>3/5/2021</w:t>
      </w:r>
    </w:p>
    <w:p w14:paraId="07F2A651" w14:textId="02E31E16" w:rsidR="00363653" w:rsidRPr="00363653" w:rsidRDefault="00363653" w:rsidP="00773183">
      <w:pPr>
        <w:ind w:left="-720" w:right="-720"/>
      </w:pPr>
    </w:p>
    <w:p w14:paraId="5E05EF5B" w14:textId="24BC6D33" w:rsidR="00363653" w:rsidRPr="00363653" w:rsidRDefault="00363653" w:rsidP="00773183">
      <w:pPr>
        <w:ind w:left="-720" w:right="-720"/>
      </w:pPr>
    </w:p>
    <w:p w14:paraId="6BB600A9" w14:textId="40444A02" w:rsidR="00363653" w:rsidRPr="00363653" w:rsidRDefault="00363653" w:rsidP="00773183">
      <w:pPr>
        <w:ind w:left="-720" w:right="-720"/>
      </w:pPr>
    </w:p>
    <w:p w14:paraId="16D7F6E3" w14:textId="762712DE" w:rsidR="00363653" w:rsidRPr="00363653" w:rsidRDefault="00363653" w:rsidP="00773183">
      <w:pPr>
        <w:ind w:left="-720" w:right="-720"/>
      </w:pPr>
    </w:p>
    <w:p w14:paraId="540BB586" w14:textId="603FBEA7" w:rsidR="00363653" w:rsidRPr="00363653" w:rsidRDefault="00363653" w:rsidP="00773183">
      <w:pPr>
        <w:ind w:left="-720" w:right="-720"/>
      </w:pPr>
    </w:p>
    <w:p w14:paraId="0881F8DE" w14:textId="7D351B36" w:rsidR="00363653" w:rsidRPr="00363653" w:rsidRDefault="00363653" w:rsidP="00773183">
      <w:pPr>
        <w:ind w:left="-720" w:right="-720"/>
      </w:pPr>
    </w:p>
    <w:p w14:paraId="7961DA27" w14:textId="39FB0DF8" w:rsidR="00363653" w:rsidRPr="00363653" w:rsidRDefault="00363653" w:rsidP="00773183">
      <w:pPr>
        <w:ind w:left="-720" w:right="-720"/>
      </w:pPr>
    </w:p>
    <w:p w14:paraId="6F53AA0C" w14:textId="77AF8F15" w:rsidR="00363653" w:rsidRPr="00363653" w:rsidRDefault="00363653" w:rsidP="00773183">
      <w:pPr>
        <w:ind w:left="-720" w:right="-720"/>
      </w:pPr>
    </w:p>
    <w:p w14:paraId="25111B3B" w14:textId="1C4E70FD" w:rsidR="00363653" w:rsidRPr="00363653" w:rsidRDefault="00363653" w:rsidP="00773183">
      <w:pPr>
        <w:ind w:left="-720" w:right="-720"/>
      </w:pPr>
    </w:p>
    <w:p w14:paraId="0851697D" w14:textId="36489024" w:rsidR="00363653" w:rsidRPr="00363653" w:rsidRDefault="00363653" w:rsidP="00773183">
      <w:pPr>
        <w:ind w:left="-720" w:right="-720"/>
      </w:pPr>
    </w:p>
    <w:p w14:paraId="407C22A4" w14:textId="77777777" w:rsidR="009F09D1" w:rsidRPr="003233AD" w:rsidRDefault="00BD73AE" w:rsidP="00773183">
      <w:pPr>
        <w:spacing w:after="0"/>
        <w:ind w:left="-720" w:right="-720"/>
        <w:jc w:val="both"/>
        <w:rPr>
          <w:rFonts w:ascii="Arial" w:hAnsi="Arial" w:cs="Arial"/>
          <w:b/>
          <w:bCs/>
        </w:rPr>
      </w:pPr>
      <w:r w:rsidRPr="003233AD">
        <w:rPr>
          <w:rFonts w:ascii="Arial" w:hAnsi="Arial" w:cs="Arial"/>
          <w:b/>
          <w:bCs/>
        </w:rPr>
        <w:lastRenderedPageBreak/>
        <w:t>How has Aurora Textile performed over the last 4 years?</w:t>
      </w:r>
      <w:r w:rsidR="003B6025" w:rsidRPr="003233AD">
        <w:rPr>
          <w:rFonts w:ascii="Arial" w:hAnsi="Arial" w:cs="Arial"/>
          <w:b/>
          <w:bCs/>
        </w:rPr>
        <w:t xml:space="preserve"> </w:t>
      </w:r>
    </w:p>
    <w:p w14:paraId="5160E305" w14:textId="7AD7481E" w:rsidR="001779F1" w:rsidRPr="00075E8D" w:rsidRDefault="00CC089A" w:rsidP="00773183">
      <w:pPr>
        <w:spacing w:line="240" w:lineRule="auto"/>
        <w:ind w:left="-720" w:right="-720"/>
        <w:jc w:val="both"/>
        <w:rPr>
          <w:sz w:val="20"/>
          <w:szCs w:val="20"/>
        </w:rPr>
      </w:pPr>
      <w:r w:rsidRPr="00075E8D">
        <w:rPr>
          <w:sz w:val="20"/>
          <w:szCs w:val="20"/>
        </w:rPr>
        <w:t>Aurora’s Sales and earnings have been in decline for the last four years</w:t>
      </w:r>
      <w:r w:rsidR="00AB6CE0" w:rsidRPr="00075E8D">
        <w:rPr>
          <w:sz w:val="20"/>
          <w:szCs w:val="20"/>
        </w:rPr>
        <w:t xml:space="preserve"> (</w:t>
      </w:r>
      <w:r w:rsidR="00AB6CE0" w:rsidRPr="003233AD">
        <w:rPr>
          <w:rFonts w:cstheme="minorHAnsi"/>
          <w:b/>
          <w:bCs/>
          <w:sz w:val="20"/>
          <w:szCs w:val="20"/>
        </w:rPr>
        <w:t>Exhibit</w:t>
      </w:r>
      <w:r w:rsidR="00404488" w:rsidRPr="003233AD">
        <w:rPr>
          <w:rFonts w:cstheme="minorHAnsi"/>
          <w:b/>
          <w:bCs/>
          <w:sz w:val="20"/>
          <w:szCs w:val="20"/>
        </w:rPr>
        <w:t>s</w:t>
      </w:r>
      <w:r w:rsidR="00AB6CE0" w:rsidRPr="003233AD">
        <w:rPr>
          <w:rFonts w:cstheme="minorHAnsi"/>
          <w:b/>
          <w:bCs/>
          <w:sz w:val="20"/>
          <w:szCs w:val="20"/>
        </w:rPr>
        <w:t xml:space="preserve"> 1</w:t>
      </w:r>
      <w:r w:rsidR="00404488" w:rsidRPr="003233AD">
        <w:rPr>
          <w:rFonts w:cstheme="minorHAnsi"/>
          <w:b/>
          <w:bCs/>
          <w:sz w:val="20"/>
          <w:szCs w:val="20"/>
        </w:rPr>
        <w:t xml:space="preserve"> &amp; </w:t>
      </w:r>
      <w:r w:rsidR="00012971">
        <w:rPr>
          <w:rFonts w:cstheme="minorHAnsi"/>
          <w:b/>
          <w:bCs/>
          <w:sz w:val="20"/>
          <w:szCs w:val="20"/>
        </w:rPr>
        <w:t>10</w:t>
      </w:r>
      <w:r w:rsidR="00AB6CE0" w:rsidRPr="00075E8D">
        <w:rPr>
          <w:sz w:val="20"/>
          <w:szCs w:val="20"/>
        </w:rPr>
        <w:t>)</w:t>
      </w:r>
      <w:r w:rsidR="00070CB2" w:rsidRPr="00075E8D">
        <w:rPr>
          <w:sz w:val="20"/>
          <w:szCs w:val="20"/>
        </w:rPr>
        <w:t xml:space="preserve">.  </w:t>
      </w:r>
      <w:r w:rsidR="001779F1" w:rsidRPr="00075E8D">
        <w:rPr>
          <w:sz w:val="20"/>
          <w:szCs w:val="20"/>
        </w:rPr>
        <w:t>Additionally, m</w:t>
      </w:r>
      <w:r w:rsidR="00070CB2" w:rsidRPr="00075E8D">
        <w:rPr>
          <w:sz w:val="20"/>
          <w:szCs w:val="20"/>
        </w:rPr>
        <w:t>ost of the company’s measures of profitability have been in decline over this time</w:t>
      </w:r>
      <w:r w:rsidR="00D06098">
        <w:rPr>
          <w:sz w:val="20"/>
          <w:szCs w:val="20"/>
        </w:rPr>
        <w:t xml:space="preserve"> </w:t>
      </w:r>
      <w:r w:rsidR="00D06098" w:rsidRPr="00075E8D">
        <w:rPr>
          <w:sz w:val="20"/>
          <w:szCs w:val="20"/>
        </w:rPr>
        <w:t>(</w:t>
      </w:r>
      <w:r w:rsidR="00D06098" w:rsidRPr="00D06098">
        <w:rPr>
          <w:b/>
          <w:bCs/>
          <w:sz w:val="20"/>
          <w:szCs w:val="20"/>
        </w:rPr>
        <w:t xml:space="preserve">Exhibit </w:t>
      </w:r>
      <w:r w:rsidR="00012971">
        <w:rPr>
          <w:b/>
          <w:bCs/>
          <w:sz w:val="20"/>
          <w:szCs w:val="20"/>
        </w:rPr>
        <w:t>10</w:t>
      </w:r>
      <w:r w:rsidR="00D06098" w:rsidRPr="00075E8D">
        <w:rPr>
          <w:sz w:val="20"/>
          <w:szCs w:val="20"/>
        </w:rPr>
        <w:t>)</w:t>
      </w:r>
      <w:r w:rsidR="001779F1" w:rsidRPr="00075E8D">
        <w:rPr>
          <w:sz w:val="20"/>
          <w:szCs w:val="20"/>
        </w:rPr>
        <w:t xml:space="preserve"> including </w:t>
      </w:r>
      <w:r w:rsidR="00E24E36" w:rsidRPr="00075E8D">
        <w:rPr>
          <w:sz w:val="20"/>
          <w:szCs w:val="20"/>
        </w:rPr>
        <w:t>its</w:t>
      </w:r>
      <w:r w:rsidR="001779F1" w:rsidRPr="00075E8D">
        <w:rPr>
          <w:sz w:val="20"/>
          <w:szCs w:val="20"/>
        </w:rPr>
        <w:t xml:space="preserve"> stock price which has fallen from $30 to a price of $12</w:t>
      </w:r>
      <w:r w:rsidR="00070CB2" w:rsidRPr="00075E8D">
        <w:rPr>
          <w:sz w:val="20"/>
          <w:szCs w:val="20"/>
        </w:rPr>
        <w:t xml:space="preserve">.  </w:t>
      </w:r>
    </w:p>
    <w:p w14:paraId="31F8B404" w14:textId="4DA1DEBE" w:rsidR="00CC089A" w:rsidRPr="00075E8D" w:rsidRDefault="00075E8D" w:rsidP="00773183">
      <w:pPr>
        <w:spacing w:line="240" w:lineRule="auto"/>
        <w:ind w:left="-720" w:right="-720"/>
        <w:jc w:val="both"/>
        <w:rPr>
          <w:sz w:val="20"/>
          <w:szCs w:val="20"/>
        </w:rPr>
      </w:pPr>
      <w:r w:rsidRPr="00075E8D">
        <w:rPr>
          <w:sz w:val="20"/>
          <w:szCs w:val="20"/>
        </w:rPr>
        <w:t>C</w:t>
      </w:r>
      <w:r w:rsidR="00E24E36" w:rsidRPr="00075E8D">
        <w:rPr>
          <w:sz w:val="20"/>
          <w:szCs w:val="20"/>
        </w:rPr>
        <w:t>ompetition from overseas,</w:t>
      </w:r>
      <w:r w:rsidR="009F09D1" w:rsidRPr="00075E8D">
        <w:rPr>
          <w:sz w:val="20"/>
          <w:szCs w:val="20"/>
        </w:rPr>
        <w:t xml:space="preserve"> globalist trade policies </w:t>
      </w:r>
      <w:r w:rsidR="00E24E36" w:rsidRPr="00075E8D">
        <w:rPr>
          <w:sz w:val="20"/>
          <w:szCs w:val="20"/>
        </w:rPr>
        <w:t xml:space="preserve">and other factors </w:t>
      </w:r>
      <w:r w:rsidR="009F09D1" w:rsidRPr="00075E8D">
        <w:rPr>
          <w:sz w:val="20"/>
          <w:szCs w:val="20"/>
        </w:rPr>
        <w:t xml:space="preserve">have had </w:t>
      </w:r>
      <w:r w:rsidR="001779F1" w:rsidRPr="00075E8D">
        <w:rPr>
          <w:sz w:val="20"/>
          <w:szCs w:val="20"/>
        </w:rPr>
        <w:t xml:space="preserve">a tumultuous impact </w:t>
      </w:r>
      <w:r w:rsidR="009F09D1" w:rsidRPr="00075E8D">
        <w:rPr>
          <w:sz w:val="20"/>
          <w:szCs w:val="20"/>
        </w:rPr>
        <w:t xml:space="preserve">on the U.S. Textile-mill industry.  </w:t>
      </w:r>
      <w:r w:rsidR="00E24E36" w:rsidRPr="00075E8D">
        <w:rPr>
          <w:sz w:val="20"/>
          <w:szCs w:val="20"/>
        </w:rPr>
        <w:t xml:space="preserve">Without more information on how these changes are impacting Aurora’s industry peers, </w:t>
      </w:r>
      <w:r w:rsidR="003D0659" w:rsidRPr="00075E8D">
        <w:rPr>
          <w:sz w:val="20"/>
          <w:szCs w:val="20"/>
        </w:rPr>
        <w:t>it is</w:t>
      </w:r>
      <w:r w:rsidR="00E24E36" w:rsidRPr="00075E8D">
        <w:rPr>
          <w:sz w:val="20"/>
          <w:szCs w:val="20"/>
        </w:rPr>
        <w:t xml:space="preserve"> difficult to render a verdict on how Aurora’s management team has </w:t>
      </w:r>
      <w:r w:rsidR="00255947" w:rsidRPr="00075E8D">
        <w:rPr>
          <w:sz w:val="20"/>
          <w:szCs w:val="20"/>
        </w:rPr>
        <w:t>performed</w:t>
      </w:r>
      <w:r w:rsidR="00E24E36" w:rsidRPr="00075E8D">
        <w:rPr>
          <w:sz w:val="20"/>
          <w:szCs w:val="20"/>
        </w:rPr>
        <w:t xml:space="preserve"> relative to the competition.</w:t>
      </w:r>
    </w:p>
    <w:p w14:paraId="091B9A5A" w14:textId="3D9C4790" w:rsidR="008E0361" w:rsidRPr="00075E8D" w:rsidRDefault="003D0659" w:rsidP="00773183">
      <w:pPr>
        <w:spacing w:line="240" w:lineRule="auto"/>
        <w:ind w:left="-720" w:right="-720"/>
        <w:jc w:val="both"/>
        <w:rPr>
          <w:sz w:val="20"/>
          <w:szCs w:val="20"/>
        </w:rPr>
      </w:pPr>
      <w:r w:rsidRPr="00075E8D">
        <w:rPr>
          <w:sz w:val="20"/>
          <w:szCs w:val="20"/>
        </w:rPr>
        <w:t>However, t</w:t>
      </w:r>
      <w:r w:rsidR="009F09D1" w:rsidRPr="00075E8D">
        <w:rPr>
          <w:sz w:val="20"/>
          <w:szCs w:val="20"/>
        </w:rPr>
        <w:t>he decision to close</w:t>
      </w:r>
      <w:r w:rsidR="00CC089A" w:rsidRPr="00075E8D">
        <w:rPr>
          <w:sz w:val="20"/>
          <w:szCs w:val="20"/>
        </w:rPr>
        <w:t xml:space="preserve"> the four unprofitable facilities in 2000, </w:t>
      </w:r>
      <w:r w:rsidRPr="00075E8D">
        <w:rPr>
          <w:sz w:val="20"/>
          <w:szCs w:val="20"/>
        </w:rPr>
        <w:t>to</w:t>
      </w:r>
      <w:r w:rsidR="00CC089A" w:rsidRPr="00075E8D">
        <w:rPr>
          <w:sz w:val="20"/>
          <w:szCs w:val="20"/>
        </w:rPr>
        <w:t xml:space="preserve"> reduce manufacturing costs and to right-size Aurora’s capacity given the changes occurring in the industry</w:t>
      </w:r>
      <w:r w:rsidRPr="00075E8D">
        <w:rPr>
          <w:sz w:val="20"/>
          <w:szCs w:val="20"/>
        </w:rPr>
        <w:t>,</w:t>
      </w:r>
      <w:r w:rsidR="00CC089A" w:rsidRPr="00075E8D">
        <w:rPr>
          <w:sz w:val="20"/>
          <w:szCs w:val="20"/>
        </w:rPr>
        <w:t xml:space="preserve"> </w:t>
      </w:r>
      <w:r w:rsidR="00E24E36" w:rsidRPr="00075E8D">
        <w:rPr>
          <w:sz w:val="20"/>
          <w:szCs w:val="20"/>
        </w:rPr>
        <w:t>look</w:t>
      </w:r>
      <w:r w:rsidRPr="00075E8D">
        <w:rPr>
          <w:sz w:val="20"/>
          <w:szCs w:val="20"/>
        </w:rPr>
        <w:t>s</w:t>
      </w:r>
      <w:r w:rsidR="00E24E36" w:rsidRPr="00075E8D">
        <w:rPr>
          <w:sz w:val="20"/>
          <w:szCs w:val="20"/>
        </w:rPr>
        <w:t xml:space="preserve"> to have been correct</w:t>
      </w:r>
      <w:r w:rsidR="00577B4B" w:rsidRPr="00075E8D">
        <w:rPr>
          <w:sz w:val="20"/>
          <w:szCs w:val="20"/>
        </w:rPr>
        <w:t xml:space="preserve"> as ROE and Net Profit Margin saw improvement from 2001 to 2002 (</w:t>
      </w:r>
      <w:r w:rsidR="00577B4B" w:rsidRPr="00773183">
        <w:rPr>
          <w:b/>
          <w:bCs/>
          <w:sz w:val="20"/>
          <w:szCs w:val="20"/>
        </w:rPr>
        <w:t xml:space="preserve">Exhibit </w:t>
      </w:r>
      <w:r w:rsidR="007B78DA">
        <w:rPr>
          <w:b/>
          <w:bCs/>
          <w:sz w:val="20"/>
          <w:szCs w:val="20"/>
        </w:rPr>
        <w:t>5</w:t>
      </w:r>
      <w:r w:rsidR="00577B4B" w:rsidRPr="00075E8D">
        <w:rPr>
          <w:sz w:val="20"/>
          <w:szCs w:val="20"/>
        </w:rPr>
        <w:t>)</w:t>
      </w:r>
      <w:r w:rsidR="007B2B27">
        <w:rPr>
          <w:sz w:val="20"/>
          <w:szCs w:val="20"/>
        </w:rPr>
        <w:t>,</w:t>
      </w:r>
      <w:r w:rsidR="008E0361" w:rsidRPr="00075E8D">
        <w:rPr>
          <w:sz w:val="20"/>
          <w:szCs w:val="20"/>
        </w:rPr>
        <w:t xml:space="preserve"> and its Fixed Asset Turnover Ratio remained flat despite declining sales (</w:t>
      </w:r>
      <w:r w:rsidR="008E0361" w:rsidRPr="007B78DA">
        <w:rPr>
          <w:b/>
          <w:bCs/>
          <w:sz w:val="20"/>
          <w:szCs w:val="20"/>
        </w:rPr>
        <w:t xml:space="preserve">Exhibit </w:t>
      </w:r>
      <w:r w:rsidR="007B78DA" w:rsidRPr="007B78DA">
        <w:rPr>
          <w:b/>
          <w:bCs/>
          <w:sz w:val="20"/>
          <w:szCs w:val="20"/>
        </w:rPr>
        <w:t>4</w:t>
      </w:r>
      <w:r w:rsidR="00012971">
        <w:rPr>
          <w:b/>
          <w:bCs/>
          <w:sz w:val="20"/>
          <w:szCs w:val="20"/>
        </w:rPr>
        <w:t xml:space="preserve"> &amp; 1</w:t>
      </w:r>
      <w:r w:rsidR="008E0361" w:rsidRPr="00075E8D">
        <w:rPr>
          <w:sz w:val="20"/>
          <w:szCs w:val="20"/>
        </w:rPr>
        <w:t>)</w:t>
      </w:r>
      <w:r w:rsidR="00CC089A" w:rsidRPr="00075E8D">
        <w:rPr>
          <w:sz w:val="20"/>
          <w:szCs w:val="20"/>
        </w:rPr>
        <w:t xml:space="preserve">.  </w:t>
      </w:r>
      <w:r w:rsidR="00564FE2">
        <w:rPr>
          <w:sz w:val="20"/>
          <w:szCs w:val="20"/>
        </w:rPr>
        <w:t>However</w:t>
      </w:r>
      <w:r w:rsidR="00F278DB">
        <w:rPr>
          <w:sz w:val="20"/>
          <w:szCs w:val="20"/>
        </w:rPr>
        <w:t>, Retained Earnings fell on a percentage basis from 1999 to 2001 (</w:t>
      </w:r>
      <w:r w:rsidR="00F278DB" w:rsidRPr="00A02EEF">
        <w:rPr>
          <w:b/>
          <w:bCs/>
          <w:sz w:val="20"/>
          <w:szCs w:val="20"/>
        </w:rPr>
        <w:t xml:space="preserve">Exhibit </w:t>
      </w:r>
      <w:r w:rsidR="00A02EEF" w:rsidRPr="00A02EEF">
        <w:rPr>
          <w:b/>
          <w:bCs/>
          <w:sz w:val="20"/>
          <w:szCs w:val="20"/>
        </w:rPr>
        <w:t>7</w:t>
      </w:r>
      <w:r w:rsidR="00F278DB">
        <w:rPr>
          <w:sz w:val="20"/>
          <w:szCs w:val="20"/>
        </w:rPr>
        <w:t>).</w:t>
      </w:r>
    </w:p>
    <w:p w14:paraId="2BC1968B" w14:textId="0FA1C440" w:rsidR="009F09D1" w:rsidRPr="00075E8D" w:rsidRDefault="00BB2860" w:rsidP="00773183">
      <w:pPr>
        <w:spacing w:line="240" w:lineRule="auto"/>
        <w:ind w:left="-720" w:right="-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closing its unprofitable facilities, </w:t>
      </w:r>
      <w:r w:rsidR="003D0659" w:rsidRPr="00075E8D">
        <w:rPr>
          <w:sz w:val="20"/>
          <w:szCs w:val="20"/>
        </w:rPr>
        <w:t>Aurora has decided to focus on the customer segments that are</w:t>
      </w:r>
      <w:r w:rsidR="00255947" w:rsidRPr="00075E8D">
        <w:rPr>
          <w:sz w:val="20"/>
          <w:szCs w:val="20"/>
        </w:rPr>
        <w:t xml:space="preserve"> best </w:t>
      </w:r>
      <w:r w:rsidR="003D0659" w:rsidRPr="00075E8D">
        <w:rPr>
          <w:sz w:val="20"/>
          <w:szCs w:val="20"/>
        </w:rPr>
        <w:t xml:space="preserve">poised to </w:t>
      </w:r>
      <w:r w:rsidR="00577B4B" w:rsidRPr="00075E8D">
        <w:rPr>
          <w:sz w:val="20"/>
          <w:szCs w:val="20"/>
        </w:rPr>
        <w:t>survive foreign</w:t>
      </w:r>
      <w:r w:rsidR="00255947" w:rsidRPr="00075E8D">
        <w:rPr>
          <w:sz w:val="20"/>
          <w:szCs w:val="20"/>
        </w:rPr>
        <w:t xml:space="preserve"> competition </w:t>
      </w:r>
      <w:r>
        <w:rPr>
          <w:sz w:val="20"/>
          <w:szCs w:val="20"/>
        </w:rPr>
        <w:t xml:space="preserve">going </w:t>
      </w:r>
      <w:r w:rsidR="00012B4E">
        <w:rPr>
          <w:sz w:val="20"/>
          <w:szCs w:val="20"/>
        </w:rPr>
        <w:t>forward</w:t>
      </w:r>
      <w:r w:rsidR="00012B4E" w:rsidRPr="00075E8D">
        <w:rPr>
          <w:sz w:val="20"/>
          <w:szCs w:val="20"/>
        </w:rPr>
        <w:t xml:space="preserve"> (</w:t>
      </w:r>
      <w:r w:rsidR="00255947" w:rsidRPr="008D66D0">
        <w:rPr>
          <w:b/>
          <w:bCs/>
          <w:sz w:val="20"/>
          <w:szCs w:val="20"/>
        </w:rPr>
        <w:t xml:space="preserve">Exhibit </w:t>
      </w:r>
      <w:r w:rsidR="008D66D0" w:rsidRPr="008D66D0">
        <w:rPr>
          <w:b/>
          <w:bCs/>
          <w:sz w:val="20"/>
          <w:szCs w:val="20"/>
        </w:rPr>
        <w:t>3</w:t>
      </w:r>
      <w:r w:rsidR="00255947" w:rsidRPr="00075E8D">
        <w:rPr>
          <w:sz w:val="20"/>
          <w:szCs w:val="20"/>
        </w:rPr>
        <w:t>).</w:t>
      </w:r>
      <w:r w:rsidR="00F22381" w:rsidRPr="00075E8D">
        <w:rPr>
          <w:sz w:val="20"/>
          <w:szCs w:val="20"/>
        </w:rPr>
        <w:t xml:space="preserve">  Additionally, the </w:t>
      </w:r>
      <w:proofErr w:type="spellStart"/>
      <w:r w:rsidR="00F22381" w:rsidRPr="00075E8D">
        <w:rPr>
          <w:sz w:val="20"/>
          <w:szCs w:val="20"/>
        </w:rPr>
        <w:t>Zinser</w:t>
      </w:r>
      <w:proofErr w:type="spellEnd"/>
      <w:r w:rsidR="00F22381" w:rsidRPr="00075E8D">
        <w:rPr>
          <w:sz w:val="20"/>
          <w:szCs w:val="20"/>
        </w:rPr>
        <w:t xml:space="preserve"> investment consideration </w:t>
      </w:r>
      <w:r w:rsidR="002465FA" w:rsidRPr="00075E8D">
        <w:rPr>
          <w:sz w:val="20"/>
          <w:szCs w:val="20"/>
        </w:rPr>
        <w:t>is</w:t>
      </w:r>
      <w:r w:rsidR="00F22381" w:rsidRPr="00075E8D">
        <w:rPr>
          <w:sz w:val="20"/>
          <w:szCs w:val="20"/>
        </w:rPr>
        <w:t xml:space="preserve"> an attempt by management to move towards flexible manufacturing, improve declining profit margins and position itself to be competitive in the high-end, finer-quality yarn market</w:t>
      </w:r>
      <w:r w:rsidR="002465FA" w:rsidRPr="00075E8D">
        <w:rPr>
          <w:sz w:val="20"/>
          <w:szCs w:val="20"/>
        </w:rPr>
        <w:t xml:space="preserve"> going forward</w:t>
      </w:r>
      <w:r w:rsidR="00671077">
        <w:rPr>
          <w:sz w:val="20"/>
          <w:szCs w:val="20"/>
        </w:rPr>
        <w:t xml:space="preserve"> (</w:t>
      </w:r>
      <w:r w:rsidR="00671077" w:rsidRPr="00671077">
        <w:rPr>
          <w:b/>
          <w:bCs/>
          <w:sz w:val="20"/>
          <w:szCs w:val="20"/>
        </w:rPr>
        <w:t>Exhibits 12 &amp; 13</w:t>
      </w:r>
      <w:r w:rsidR="00671077">
        <w:rPr>
          <w:sz w:val="20"/>
          <w:szCs w:val="20"/>
        </w:rPr>
        <w:t>)</w:t>
      </w:r>
      <w:r w:rsidR="00F22381" w:rsidRPr="00075E8D">
        <w:rPr>
          <w:sz w:val="20"/>
          <w:szCs w:val="20"/>
        </w:rPr>
        <w:t>.</w:t>
      </w:r>
    </w:p>
    <w:p w14:paraId="3113C204" w14:textId="0DCE319C" w:rsidR="003B6025" w:rsidRPr="003233AD" w:rsidRDefault="009F09D1" w:rsidP="00773183">
      <w:pPr>
        <w:spacing w:after="0"/>
        <w:ind w:left="-720" w:right="-720"/>
        <w:jc w:val="both"/>
        <w:rPr>
          <w:rFonts w:ascii="Arial" w:hAnsi="Arial" w:cs="Arial"/>
          <w:b/>
          <w:bCs/>
        </w:rPr>
      </w:pPr>
      <w:r w:rsidRPr="003233AD">
        <w:rPr>
          <w:rFonts w:ascii="Arial" w:hAnsi="Arial" w:cs="Arial"/>
          <w:b/>
          <w:bCs/>
        </w:rPr>
        <w:t xml:space="preserve">How well is </w:t>
      </w:r>
      <w:r w:rsidR="003B6025" w:rsidRPr="003233AD">
        <w:rPr>
          <w:rFonts w:ascii="Arial" w:hAnsi="Arial" w:cs="Arial"/>
          <w:b/>
          <w:bCs/>
        </w:rPr>
        <w:t>Aurora management is doing with</w:t>
      </w:r>
      <w:r w:rsidR="00F87CF1" w:rsidRPr="003233AD">
        <w:rPr>
          <w:rFonts w:ascii="Arial" w:hAnsi="Arial" w:cs="Arial"/>
          <w:b/>
          <w:bCs/>
        </w:rPr>
        <w:t xml:space="preserve"> </w:t>
      </w:r>
      <w:r w:rsidR="003B6025" w:rsidRPr="003233AD">
        <w:rPr>
          <w:rFonts w:ascii="Arial" w:hAnsi="Arial" w:cs="Arial"/>
          <w:b/>
          <w:bCs/>
        </w:rPr>
        <w:t xml:space="preserve">Expense </w:t>
      </w:r>
      <w:r w:rsidR="00F87CF1" w:rsidRPr="003233AD">
        <w:rPr>
          <w:rFonts w:ascii="Arial" w:hAnsi="Arial" w:cs="Arial"/>
          <w:b/>
          <w:bCs/>
        </w:rPr>
        <w:t>management?</w:t>
      </w:r>
      <w:r w:rsidR="003B6025" w:rsidRPr="003233AD">
        <w:rPr>
          <w:rFonts w:ascii="Arial" w:hAnsi="Arial" w:cs="Arial"/>
          <w:b/>
          <w:bCs/>
        </w:rPr>
        <w:t xml:space="preserve"> </w:t>
      </w:r>
    </w:p>
    <w:p w14:paraId="0237A093" w14:textId="2E39B132" w:rsidR="009F09D1" w:rsidRPr="00075E8D" w:rsidRDefault="002B28CF" w:rsidP="00773183">
      <w:pPr>
        <w:spacing w:line="240" w:lineRule="auto"/>
        <w:ind w:left="-720" w:right="-720"/>
        <w:jc w:val="both"/>
        <w:rPr>
          <w:sz w:val="20"/>
          <w:szCs w:val="20"/>
        </w:rPr>
      </w:pPr>
      <w:r w:rsidRPr="00075E8D">
        <w:rPr>
          <w:sz w:val="20"/>
          <w:szCs w:val="20"/>
        </w:rPr>
        <w:t xml:space="preserve">Aurora’s management team has done </w:t>
      </w:r>
      <w:r w:rsidR="00477E7E" w:rsidRPr="00075E8D">
        <w:rPr>
          <w:sz w:val="20"/>
          <w:szCs w:val="20"/>
        </w:rPr>
        <w:t>a good</w:t>
      </w:r>
      <w:r w:rsidRPr="00075E8D">
        <w:rPr>
          <w:sz w:val="20"/>
          <w:szCs w:val="20"/>
        </w:rPr>
        <w:t xml:space="preserve"> job in maintaining SG&amp;A expenses as a percentage of sales (</w:t>
      </w:r>
      <w:r w:rsidRPr="00506D6B">
        <w:rPr>
          <w:b/>
          <w:bCs/>
          <w:sz w:val="20"/>
          <w:szCs w:val="20"/>
        </w:rPr>
        <w:t>Exhibit 1</w:t>
      </w:r>
      <w:r w:rsidRPr="00075E8D">
        <w:rPr>
          <w:sz w:val="20"/>
          <w:szCs w:val="20"/>
        </w:rPr>
        <w:t xml:space="preserve">).  This is especially clear </w:t>
      </w:r>
      <w:r w:rsidR="00A31938" w:rsidRPr="00075E8D">
        <w:rPr>
          <w:sz w:val="20"/>
          <w:szCs w:val="20"/>
        </w:rPr>
        <w:t>when it is understood that</w:t>
      </w:r>
      <w:r w:rsidRPr="00075E8D">
        <w:rPr>
          <w:sz w:val="20"/>
          <w:szCs w:val="20"/>
        </w:rPr>
        <w:t xml:space="preserve"> sales </w:t>
      </w:r>
      <w:r w:rsidR="002465FA" w:rsidRPr="00075E8D">
        <w:rPr>
          <w:sz w:val="20"/>
          <w:szCs w:val="20"/>
        </w:rPr>
        <w:t>declined close to 20% both in 2000 and 2001</w:t>
      </w:r>
      <w:r w:rsidR="00A31938" w:rsidRPr="00075E8D">
        <w:rPr>
          <w:sz w:val="20"/>
          <w:szCs w:val="20"/>
        </w:rPr>
        <w:t xml:space="preserve"> and SG&amp;A expenses as a percentage of sales </w:t>
      </w:r>
      <w:r w:rsidR="00EB370A" w:rsidRPr="00075E8D">
        <w:rPr>
          <w:sz w:val="20"/>
          <w:szCs w:val="20"/>
        </w:rPr>
        <w:t>remained constant at</w:t>
      </w:r>
      <w:r w:rsidR="00A31938" w:rsidRPr="00075E8D">
        <w:rPr>
          <w:sz w:val="20"/>
          <w:szCs w:val="20"/>
        </w:rPr>
        <w:t xml:space="preserve"> </w:t>
      </w:r>
      <w:r w:rsidR="00AD09DE" w:rsidRPr="00075E8D">
        <w:rPr>
          <w:sz w:val="20"/>
          <w:szCs w:val="20"/>
        </w:rPr>
        <w:t xml:space="preserve">around </w:t>
      </w:r>
      <w:r w:rsidR="00A31938" w:rsidRPr="00075E8D">
        <w:rPr>
          <w:sz w:val="20"/>
          <w:szCs w:val="20"/>
        </w:rPr>
        <w:t>7%</w:t>
      </w:r>
      <w:r w:rsidR="0009525C">
        <w:rPr>
          <w:sz w:val="20"/>
          <w:szCs w:val="20"/>
        </w:rPr>
        <w:t xml:space="preserve"> (</w:t>
      </w:r>
      <w:r w:rsidR="0009525C" w:rsidRPr="0009525C">
        <w:rPr>
          <w:b/>
          <w:bCs/>
          <w:sz w:val="20"/>
          <w:szCs w:val="20"/>
        </w:rPr>
        <w:t>Exhibit 1</w:t>
      </w:r>
      <w:r w:rsidR="0009525C">
        <w:rPr>
          <w:sz w:val="20"/>
          <w:szCs w:val="20"/>
        </w:rPr>
        <w:t>)</w:t>
      </w:r>
      <w:r w:rsidR="00A31938" w:rsidRPr="00075E8D">
        <w:rPr>
          <w:sz w:val="20"/>
          <w:szCs w:val="20"/>
        </w:rPr>
        <w:t>.</w:t>
      </w:r>
    </w:p>
    <w:p w14:paraId="4934DA27" w14:textId="701AD8CA" w:rsidR="003B6025" w:rsidRPr="0070713A" w:rsidRDefault="003B6025" w:rsidP="00773183">
      <w:pPr>
        <w:spacing w:after="0"/>
        <w:ind w:left="-720" w:right="-720"/>
        <w:jc w:val="both"/>
        <w:rPr>
          <w:rFonts w:ascii="Arial" w:hAnsi="Arial" w:cs="Arial"/>
          <w:b/>
          <w:bCs/>
        </w:rPr>
      </w:pPr>
      <w:r w:rsidRPr="0070713A">
        <w:rPr>
          <w:rFonts w:ascii="Arial" w:hAnsi="Arial" w:cs="Arial"/>
          <w:b/>
          <w:bCs/>
        </w:rPr>
        <w:t>Asset management</w:t>
      </w:r>
      <w:r w:rsidR="00F87CF1" w:rsidRPr="0070713A">
        <w:rPr>
          <w:rFonts w:ascii="Arial" w:hAnsi="Arial" w:cs="Arial"/>
          <w:b/>
          <w:bCs/>
        </w:rPr>
        <w:t>?</w:t>
      </w:r>
    </w:p>
    <w:p w14:paraId="198CE0B6" w14:textId="43D9887D" w:rsidR="0062304B" w:rsidRPr="00075E8D" w:rsidRDefault="00EB370A" w:rsidP="00773183">
      <w:pPr>
        <w:spacing w:line="240" w:lineRule="auto"/>
        <w:ind w:left="-720" w:right="-720"/>
        <w:jc w:val="both"/>
        <w:rPr>
          <w:sz w:val="20"/>
          <w:szCs w:val="20"/>
        </w:rPr>
      </w:pPr>
      <w:r w:rsidRPr="00075E8D">
        <w:rPr>
          <w:sz w:val="20"/>
          <w:szCs w:val="20"/>
        </w:rPr>
        <w:t xml:space="preserve">Aurora </w:t>
      </w:r>
      <w:r w:rsidR="00A91B78" w:rsidRPr="00075E8D">
        <w:rPr>
          <w:sz w:val="20"/>
          <w:szCs w:val="20"/>
        </w:rPr>
        <w:t>gets a mixed review when it comes to</w:t>
      </w:r>
      <w:r w:rsidRPr="00075E8D">
        <w:rPr>
          <w:sz w:val="20"/>
          <w:szCs w:val="20"/>
        </w:rPr>
        <w:t xml:space="preserve"> managing its assets</w:t>
      </w:r>
      <w:r w:rsidR="003D7683">
        <w:rPr>
          <w:sz w:val="20"/>
          <w:szCs w:val="20"/>
        </w:rPr>
        <w:t xml:space="preserve">.  </w:t>
      </w:r>
      <w:r w:rsidR="00F702AA">
        <w:rPr>
          <w:sz w:val="20"/>
          <w:szCs w:val="20"/>
        </w:rPr>
        <w:t>Its</w:t>
      </w:r>
      <w:r w:rsidR="00E01594">
        <w:rPr>
          <w:sz w:val="20"/>
          <w:szCs w:val="20"/>
        </w:rPr>
        <w:t xml:space="preserve"> Asset Turnover Ratio declined from 1.34 in ’00 to 1.06 in </w:t>
      </w:r>
      <w:r w:rsidR="00F702AA">
        <w:rPr>
          <w:sz w:val="20"/>
          <w:szCs w:val="20"/>
        </w:rPr>
        <w:t>’</w:t>
      </w:r>
      <w:r w:rsidR="00E01594">
        <w:rPr>
          <w:sz w:val="20"/>
          <w:szCs w:val="20"/>
        </w:rPr>
        <w:t>02</w:t>
      </w:r>
      <w:r w:rsidR="00F702AA">
        <w:rPr>
          <w:sz w:val="20"/>
          <w:szCs w:val="20"/>
        </w:rPr>
        <w:t xml:space="preserve"> (</w:t>
      </w:r>
      <w:r w:rsidR="00F702AA" w:rsidRPr="00F702AA">
        <w:rPr>
          <w:b/>
          <w:bCs/>
          <w:sz w:val="20"/>
          <w:szCs w:val="20"/>
        </w:rPr>
        <w:t>Exhibits 4 &amp; 5</w:t>
      </w:r>
      <w:r w:rsidR="00F702AA">
        <w:rPr>
          <w:sz w:val="20"/>
          <w:szCs w:val="20"/>
        </w:rPr>
        <w:t>)</w:t>
      </w:r>
      <w:r w:rsidRPr="00075E8D">
        <w:rPr>
          <w:sz w:val="20"/>
          <w:szCs w:val="20"/>
        </w:rPr>
        <w:t xml:space="preserve">.  </w:t>
      </w:r>
      <w:r w:rsidR="00F702AA">
        <w:rPr>
          <w:sz w:val="20"/>
          <w:szCs w:val="20"/>
        </w:rPr>
        <w:t>However, a</w:t>
      </w:r>
      <w:r w:rsidR="00F8791A">
        <w:rPr>
          <w:sz w:val="20"/>
          <w:szCs w:val="20"/>
        </w:rPr>
        <w:t>s we drill down</w:t>
      </w:r>
      <w:r w:rsidR="00F702AA">
        <w:rPr>
          <w:sz w:val="20"/>
          <w:szCs w:val="20"/>
        </w:rPr>
        <w:t xml:space="preserve"> into Aurora’s assets</w:t>
      </w:r>
      <w:r w:rsidR="00F8791A">
        <w:rPr>
          <w:sz w:val="20"/>
          <w:szCs w:val="20"/>
        </w:rPr>
        <w:t>, it is</w:t>
      </w:r>
      <w:r w:rsidR="00A91B78" w:rsidRPr="00075E8D">
        <w:rPr>
          <w:sz w:val="20"/>
          <w:szCs w:val="20"/>
        </w:rPr>
        <w:t xml:space="preserve"> </w:t>
      </w:r>
      <w:r w:rsidR="00F702AA">
        <w:rPr>
          <w:sz w:val="20"/>
          <w:szCs w:val="20"/>
        </w:rPr>
        <w:t>the</w:t>
      </w:r>
      <w:r w:rsidR="00A91B78" w:rsidRPr="00075E8D">
        <w:rPr>
          <w:sz w:val="20"/>
          <w:szCs w:val="20"/>
        </w:rPr>
        <w:t xml:space="preserve"> Inventory Turnover Ratio (</w:t>
      </w:r>
      <w:r w:rsidR="00A91B78" w:rsidRPr="00E9251B">
        <w:rPr>
          <w:b/>
          <w:bCs/>
          <w:sz w:val="20"/>
          <w:szCs w:val="20"/>
        </w:rPr>
        <w:t xml:space="preserve">Exhibit </w:t>
      </w:r>
      <w:r w:rsidR="00E9251B" w:rsidRPr="00E9251B">
        <w:rPr>
          <w:b/>
          <w:bCs/>
          <w:sz w:val="20"/>
          <w:szCs w:val="20"/>
        </w:rPr>
        <w:t>4</w:t>
      </w:r>
      <w:r w:rsidR="00A91B78" w:rsidRPr="00075E8D">
        <w:rPr>
          <w:sz w:val="20"/>
          <w:szCs w:val="20"/>
        </w:rPr>
        <w:t xml:space="preserve">), </w:t>
      </w:r>
      <w:r w:rsidR="001179BC">
        <w:rPr>
          <w:sz w:val="20"/>
          <w:szCs w:val="20"/>
        </w:rPr>
        <w:t xml:space="preserve">which reveals </w:t>
      </w:r>
      <w:r w:rsidR="00012971">
        <w:rPr>
          <w:sz w:val="20"/>
          <w:szCs w:val="20"/>
        </w:rPr>
        <w:t>that</w:t>
      </w:r>
      <w:r w:rsidR="001179BC">
        <w:rPr>
          <w:sz w:val="20"/>
          <w:szCs w:val="20"/>
        </w:rPr>
        <w:t xml:space="preserve"> Aurora has not reduced its inventories commensurate with its recent decline in sales.</w:t>
      </w:r>
      <w:r w:rsidR="00A91B78" w:rsidRPr="00075E8D">
        <w:rPr>
          <w:sz w:val="20"/>
          <w:szCs w:val="20"/>
        </w:rPr>
        <w:t xml:space="preserve">  </w:t>
      </w:r>
      <w:r w:rsidR="00E01594">
        <w:rPr>
          <w:sz w:val="20"/>
          <w:szCs w:val="20"/>
        </w:rPr>
        <w:t>Also</w:t>
      </w:r>
      <w:r w:rsidR="003E3925" w:rsidRPr="00075E8D">
        <w:rPr>
          <w:sz w:val="20"/>
          <w:szCs w:val="20"/>
        </w:rPr>
        <w:t>, c</w:t>
      </w:r>
      <w:r w:rsidR="00A91B78" w:rsidRPr="00075E8D">
        <w:rPr>
          <w:sz w:val="20"/>
          <w:szCs w:val="20"/>
        </w:rPr>
        <w:t>otton spot prices</w:t>
      </w:r>
      <w:r w:rsidR="003E3925" w:rsidRPr="00075E8D">
        <w:rPr>
          <w:sz w:val="20"/>
          <w:szCs w:val="20"/>
        </w:rPr>
        <w:t xml:space="preserve"> have been in decline since ’</w:t>
      </w:r>
      <w:r w:rsidR="00F8791A" w:rsidRPr="00075E8D">
        <w:rPr>
          <w:sz w:val="20"/>
          <w:szCs w:val="20"/>
        </w:rPr>
        <w:t>97</w:t>
      </w:r>
      <w:r w:rsidR="00F8791A">
        <w:rPr>
          <w:sz w:val="20"/>
          <w:szCs w:val="20"/>
        </w:rPr>
        <w:t xml:space="preserve"> yet</w:t>
      </w:r>
      <w:r w:rsidR="003E3925" w:rsidRPr="00075E8D">
        <w:rPr>
          <w:sz w:val="20"/>
          <w:szCs w:val="20"/>
        </w:rPr>
        <w:t xml:space="preserve"> profit margins have been flat to down from 2000 </w:t>
      </w:r>
      <w:r w:rsidR="00E01594">
        <w:rPr>
          <w:sz w:val="20"/>
          <w:szCs w:val="20"/>
        </w:rPr>
        <w:t>to</w:t>
      </w:r>
      <w:r w:rsidR="003E3925" w:rsidRPr="00075E8D">
        <w:rPr>
          <w:sz w:val="20"/>
          <w:szCs w:val="20"/>
        </w:rPr>
        <w:t xml:space="preserve"> 2002</w:t>
      </w:r>
      <w:r w:rsidR="008E0361" w:rsidRPr="00075E8D">
        <w:rPr>
          <w:sz w:val="20"/>
          <w:szCs w:val="20"/>
        </w:rPr>
        <w:t xml:space="preserve"> (</w:t>
      </w:r>
      <w:r w:rsidR="008E0361" w:rsidRPr="00F702AA">
        <w:rPr>
          <w:b/>
          <w:bCs/>
          <w:sz w:val="20"/>
          <w:szCs w:val="20"/>
        </w:rPr>
        <w:t xml:space="preserve">Exhibit </w:t>
      </w:r>
      <w:r w:rsidR="00F702AA" w:rsidRPr="00F702AA">
        <w:rPr>
          <w:b/>
          <w:bCs/>
          <w:sz w:val="20"/>
          <w:szCs w:val="20"/>
        </w:rPr>
        <w:t>5</w:t>
      </w:r>
      <w:r w:rsidR="008E0361" w:rsidRPr="00075E8D">
        <w:rPr>
          <w:sz w:val="20"/>
          <w:szCs w:val="20"/>
        </w:rPr>
        <w:t>)</w:t>
      </w:r>
      <w:r w:rsidR="003E3925" w:rsidRPr="00075E8D">
        <w:rPr>
          <w:sz w:val="20"/>
          <w:szCs w:val="20"/>
        </w:rPr>
        <w:t xml:space="preserve">; I believe </w:t>
      </w:r>
      <w:r w:rsidR="001178CA">
        <w:rPr>
          <w:sz w:val="20"/>
          <w:szCs w:val="20"/>
        </w:rPr>
        <w:t>tighter</w:t>
      </w:r>
      <w:r w:rsidR="003E3925" w:rsidRPr="00075E8D">
        <w:rPr>
          <w:sz w:val="20"/>
          <w:szCs w:val="20"/>
        </w:rPr>
        <w:t xml:space="preserve"> inventory </w:t>
      </w:r>
      <w:r w:rsidR="001178CA">
        <w:rPr>
          <w:sz w:val="20"/>
          <w:szCs w:val="20"/>
        </w:rPr>
        <w:t>controls</w:t>
      </w:r>
      <w:r w:rsidR="003E3925" w:rsidRPr="00075E8D">
        <w:rPr>
          <w:sz w:val="20"/>
          <w:szCs w:val="20"/>
        </w:rPr>
        <w:t xml:space="preserve"> </w:t>
      </w:r>
      <w:r w:rsidR="00E01594">
        <w:rPr>
          <w:sz w:val="20"/>
          <w:szCs w:val="20"/>
        </w:rPr>
        <w:t>are sorely needed</w:t>
      </w:r>
      <w:r w:rsidR="00020A06">
        <w:rPr>
          <w:sz w:val="20"/>
          <w:szCs w:val="20"/>
        </w:rPr>
        <w:t xml:space="preserve"> to improve margins and free up working capital</w:t>
      </w:r>
      <w:r w:rsidR="00012971">
        <w:rPr>
          <w:sz w:val="20"/>
          <w:szCs w:val="20"/>
        </w:rPr>
        <w:t xml:space="preserve"> (</w:t>
      </w:r>
      <w:r w:rsidR="00012971" w:rsidRPr="00012971">
        <w:rPr>
          <w:b/>
          <w:bCs/>
          <w:sz w:val="20"/>
          <w:szCs w:val="20"/>
        </w:rPr>
        <w:t>Exhibit 8</w:t>
      </w:r>
      <w:r w:rsidR="00012971">
        <w:rPr>
          <w:sz w:val="20"/>
          <w:szCs w:val="20"/>
        </w:rPr>
        <w:t>)</w:t>
      </w:r>
      <w:r w:rsidR="00020A06">
        <w:rPr>
          <w:sz w:val="20"/>
          <w:szCs w:val="20"/>
        </w:rPr>
        <w:t>.</w:t>
      </w:r>
    </w:p>
    <w:p w14:paraId="0E1DBD0C" w14:textId="665AB1AF" w:rsidR="003E3925" w:rsidRPr="00075E8D" w:rsidRDefault="003E3925" w:rsidP="00773183">
      <w:pPr>
        <w:spacing w:line="240" w:lineRule="auto"/>
        <w:ind w:left="-720" w:right="-720"/>
        <w:jc w:val="both"/>
        <w:rPr>
          <w:sz w:val="20"/>
          <w:szCs w:val="20"/>
        </w:rPr>
      </w:pPr>
      <w:r w:rsidRPr="00075E8D">
        <w:rPr>
          <w:sz w:val="20"/>
          <w:szCs w:val="20"/>
        </w:rPr>
        <w:t xml:space="preserve">However, managements’ handling of its fixed assets has been good.  </w:t>
      </w:r>
      <w:r w:rsidR="008E0361" w:rsidRPr="00075E8D">
        <w:rPr>
          <w:sz w:val="20"/>
          <w:szCs w:val="20"/>
        </w:rPr>
        <w:t>Despite significant Asset Impairments in ’00 &amp; ’01 (</w:t>
      </w:r>
      <w:r w:rsidR="008E0361" w:rsidRPr="003F79AA">
        <w:rPr>
          <w:b/>
          <w:bCs/>
          <w:sz w:val="20"/>
          <w:szCs w:val="20"/>
        </w:rPr>
        <w:t xml:space="preserve">Exhibit </w:t>
      </w:r>
      <w:r w:rsidR="003F79AA" w:rsidRPr="003F79AA">
        <w:rPr>
          <w:b/>
          <w:bCs/>
          <w:sz w:val="20"/>
          <w:szCs w:val="20"/>
        </w:rPr>
        <w:t>10</w:t>
      </w:r>
      <w:r w:rsidR="008E0361" w:rsidRPr="00075E8D">
        <w:rPr>
          <w:sz w:val="20"/>
          <w:szCs w:val="20"/>
        </w:rPr>
        <w:t>) and reductions in Machinery and Equipment from ’97 – ’01 (</w:t>
      </w:r>
      <w:r w:rsidR="008E0361" w:rsidRPr="003F79AA">
        <w:rPr>
          <w:b/>
          <w:bCs/>
          <w:sz w:val="20"/>
          <w:szCs w:val="20"/>
        </w:rPr>
        <w:t xml:space="preserve">Exhibit </w:t>
      </w:r>
      <w:r w:rsidR="003F79AA" w:rsidRPr="003F79AA">
        <w:rPr>
          <w:b/>
          <w:bCs/>
          <w:sz w:val="20"/>
          <w:szCs w:val="20"/>
        </w:rPr>
        <w:t>11</w:t>
      </w:r>
      <w:r w:rsidR="008E0361" w:rsidRPr="00075E8D">
        <w:rPr>
          <w:sz w:val="20"/>
          <w:szCs w:val="20"/>
        </w:rPr>
        <w:t>), Aurora’s Fixed Asset Turnover Ratio has remained relatively flat (</w:t>
      </w:r>
      <w:r w:rsidR="008E0361" w:rsidRPr="00577594">
        <w:rPr>
          <w:b/>
          <w:bCs/>
          <w:sz w:val="20"/>
          <w:szCs w:val="20"/>
        </w:rPr>
        <w:t xml:space="preserve">Exhibit </w:t>
      </w:r>
      <w:r w:rsidR="00577594" w:rsidRPr="00577594">
        <w:rPr>
          <w:b/>
          <w:bCs/>
          <w:sz w:val="20"/>
          <w:szCs w:val="20"/>
        </w:rPr>
        <w:t>4</w:t>
      </w:r>
      <w:r w:rsidR="008E0361" w:rsidRPr="00075E8D">
        <w:rPr>
          <w:sz w:val="20"/>
          <w:szCs w:val="20"/>
        </w:rPr>
        <w:t xml:space="preserve">).  </w:t>
      </w:r>
      <w:r w:rsidR="0000720A" w:rsidRPr="00075E8D">
        <w:rPr>
          <w:sz w:val="20"/>
          <w:szCs w:val="20"/>
        </w:rPr>
        <w:t xml:space="preserve">This gives support </w:t>
      </w:r>
      <w:r w:rsidR="00A25409">
        <w:rPr>
          <w:sz w:val="20"/>
          <w:szCs w:val="20"/>
        </w:rPr>
        <w:t>for</w:t>
      </w:r>
      <w:r w:rsidR="0000720A" w:rsidRPr="00075E8D">
        <w:rPr>
          <w:sz w:val="20"/>
          <w:szCs w:val="20"/>
        </w:rPr>
        <w:t xml:space="preserve"> the</w:t>
      </w:r>
      <w:r w:rsidR="007B2B27">
        <w:rPr>
          <w:sz w:val="20"/>
          <w:szCs w:val="20"/>
        </w:rPr>
        <w:t xml:space="preserve"> move</w:t>
      </w:r>
      <w:r w:rsidR="0000720A" w:rsidRPr="00075E8D">
        <w:rPr>
          <w:sz w:val="20"/>
          <w:szCs w:val="20"/>
        </w:rPr>
        <w:t xml:space="preserve"> </w:t>
      </w:r>
      <w:r w:rsidR="00AD09DE" w:rsidRPr="00075E8D">
        <w:rPr>
          <w:sz w:val="20"/>
          <w:szCs w:val="20"/>
        </w:rPr>
        <w:t xml:space="preserve">by Aurora’s management </w:t>
      </w:r>
      <w:r w:rsidR="0000720A" w:rsidRPr="00075E8D">
        <w:rPr>
          <w:sz w:val="20"/>
          <w:szCs w:val="20"/>
        </w:rPr>
        <w:t xml:space="preserve">to close </w:t>
      </w:r>
      <w:r w:rsidR="00A25409">
        <w:rPr>
          <w:sz w:val="20"/>
          <w:szCs w:val="20"/>
        </w:rPr>
        <w:t>its</w:t>
      </w:r>
      <w:r w:rsidR="007B2B27">
        <w:rPr>
          <w:sz w:val="20"/>
          <w:szCs w:val="20"/>
        </w:rPr>
        <w:t xml:space="preserve"> </w:t>
      </w:r>
      <w:r w:rsidR="0000720A" w:rsidRPr="00075E8D">
        <w:rPr>
          <w:sz w:val="20"/>
          <w:szCs w:val="20"/>
        </w:rPr>
        <w:t>unprofitable facilities</w:t>
      </w:r>
      <w:r w:rsidR="00C61504" w:rsidRPr="00075E8D">
        <w:rPr>
          <w:sz w:val="20"/>
          <w:szCs w:val="20"/>
        </w:rPr>
        <w:t xml:space="preserve">, </w:t>
      </w:r>
      <w:r w:rsidR="00564FE2">
        <w:rPr>
          <w:sz w:val="20"/>
          <w:szCs w:val="20"/>
        </w:rPr>
        <w:t>as</w:t>
      </w:r>
      <w:r w:rsidR="00C61504" w:rsidRPr="00075E8D">
        <w:rPr>
          <w:sz w:val="20"/>
          <w:szCs w:val="20"/>
        </w:rPr>
        <w:t xml:space="preserve"> they were not a significant source of revenue</w:t>
      </w:r>
      <w:r w:rsidR="0000720A" w:rsidRPr="00075E8D">
        <w:rPr>
          <w:sz w:val="20"/>
          <w:szCs w:val="20"/>
        </w:rPr>
        <w:t>.</w:t>
      </w:r>
    </w:p>
    <w:p w14:paraId="10774A74" w14:textId="4FF4EAF1" w:rsidR="00BD73AE" w:rsidRPr="0070713A" w:rsidRDefault="003B6025" w:rsidP="00773183">
      <w:pPr>
        <w:spacing w:after="0"/>
        <w:ind w:left="-720" w:right="-720"/>
        <w:jc w:val="both"/>
        <w:rPr>
          <w:rFonts w:ascii="Arial" w:hAnsi="Arial" w:cs="Arial"/>
          <w:b/>
          <w:bCs/>
        </w:rPr>
      </w:pPr>
      <w:r w:rsidRPr="0070713A">
        <w:rPr>
          <w:rFonts w:ascii="Arial" w:hAnsi="Arial" w:cs="Arial"/>
          <w:b/>
          <w:bCs/>
        </w:rPr>
        <w:t>Receivables management</w:t>
      </w:r>
      <w:r w:rsidR="00F87CF1" w:rsidRPr="0070713A">
        <w:rPr>
          <w:rFonts w:ascii="Arial" w:hAnsi="Arial" w:cs="Arial"/>
          <w:b/>
          <w:bCs/>
        </w:rPr>
        <w:t>?</w:t>
      </w:r>
    </w:p>
    <w:p w14:paraId="4BE1EAB9" w14:textId="4BE9AE83" w:rsidR="00160B5E" w:rsidRDefault="00C61504" w:rsidP="00773183">
      <w:pPr>
        <w:spacing w:line="240" w:lineRule="auto"/>
        <w:ind w:left="-720" w:right="-720"/>
        <w:jc w:val="both"/>
        <w:rPr>
          <w:sz w:val="20"/>
          <w:szCs w:val="20"/>
        </w:rPr>
      </w:pPr>
      <w:r w:rsidRPr="00F611DC">
        <w:rPr>
          <w:sz w:val="20"/>
          <w:szCs w:val="20"/>
        </w:rPr>
        <w:t xml:space="preserve">Overall, Aurora gets a poor grade for the management of its receivables.  </w:t>
      </w:r>
      <w:r w:rsidR="00B041BC" w:rsidRPr="00F611DC">
        <w:rPr>
          <w:sz w:val="20"/>
          <w:szCs w:val="20"/>
        </w:rPr>
        <w:t>This is illustrated by looking at its Cash Conversion Cycle (</w:t>
      </w:r>
      <w:r w:rsidR="00B041BC" w:rsidRPr="00CF1576">
        <w:rPr>
          <w:b/>
          <w:bCs/>
          <w:sz w:val="20"/>
          <w:szCs w:val="20"/>
        </w:rPr>
        <w:t>Exhibit 2</w:t>
      </w:r>
      <w:r w:rsidR="00B041BC" w:rsidRPr="00F611DC">
        <w:rPr>
          <w:sz w:val="20"/>
          <w:szCs w:val="20"/>
        </w:rPr>
        <w:t>).</w:t>
      </w:r>
      <w:r w:rsidR="00BA093C">
        <w:rPr>
          <w:sz w:val="20"/>
          <w:szCs w:val="20"/>
        </w:rPr>
        <w:t xml:space="preserve">  The days it takes Aurora to convert its investments in inventory and other resources into cash has risen from </w:t>
      </w:r>
      <w:r w:rsidR="00BB3D51">
        <w:rPr>
          <w:sz w:val="20"/>
          <w:szCs w:val="20"/>
        </w:rPr>
        <w:t xml:space="preserve">36 days in 2000 to 63 days in 2002.  This drastic rise </w:t>
      </w:r>
      <w:r w:rsidR="005F4365">
        <w:rPr>
          <w:sz w:val="20"/>
          <w:szCs w:val="20"/>
        </w:rPr>
        <w:t xml:space="preserve">in the </w:t>
      </w:r>
      <w:r w:rsidR="00DE22AC">
        <w:rPr>
          <w:sz w:val="20"/>
          <w:szCs w:val="20"/>
        </w:rPr>
        <w:t xml:space="preserve">company’s </w:t>
      </w:r>
      <w:r w:rsidR="005F4365">
        <w:rPr>
          <w:sz w:val="20"/>
          <w:szCs w:val="20"/>
        </w:rPr>
        <w:t>Cash Conversion Cycle can be primarily attributed to Aurora’s rise in Days Sales Outstanding (</w:t>
      </w:r>
      <w:r w:rsidR="005F4365" w:rsidRPr="00DE22AC">
        <w:rPr>
          <w:b/>
          <w:bCs/>
          <w:sz w:val="20"/>
          <w:szCs w:val="20"/>
        </w:rPr>
        <w:t>Exhibit 2</w:t>
      </w:r>
      <w:r w:rsidR="005F4365">
        <w:rPr>
          <w:sz w:val="20"/>
          <w:szCs w:val="20"/>
        </w:rPr>
        <w:t xml:space="preserve">).  DSO measures how long it takes a firm to collect the cash it generates from its sales.  In Aurora’s case, DSO has risen from 23 days in 2000 to </w:t>
      </w:r>
      <w:r w:rsidR="00117D9F">
        <w:rPr>
          <w:sz w:val="20"/>
          <w:szCs w:val="20"/>
        </w:rPr>
        <w:t>57 days in 2002.</w:t>
      </w:r>
      <w:r w:rsidR="005F4365">
        <w:rPr>
          <w:sz w:val="20"/>
          <w:szCs w:val="20"/>
        </w:rPr>
        <w:t xml:space="preserve"> </w:t>
      </w:r>
      <w:r w:rsidR="007B2B27">
        <w:rPr>
          <w:sz w:val="20"/>
          <w:szCs w:val="20"/>
        </w:rPr>
        <w:t xml:space="preserve">This is a 48% increase in two years.  </w:t>
      </w:r>
      <w:r w:rsidR="00117D9F">
        <w:rPr>
          <w:sz w:val="20"/>
          <w:szCs w:val="20"/>
        </w:rPr>
        <w:t>Similarly, Accounts Receivable as a percent of Total Assets rose from 9.7% in 2000 to 19.2% in 2002 (</w:t>
      </w:r>
      <w:r w:rsidR="00117D9F" w:rsidRPr="00DE22AC">
        <w:rPr>
          <w:b/>
          <w:bCs/>
          <w:sz w:val="20"/>
          <w:szCs w:val="20"/>
        </w:rPr>
        <w:t xml:space="preserve">Exhibit </w:t>
      </w:r>
      <w:r w:rsidR="00DE22AC" w:rsidRPr="00DE22AC">
        <w:rPr>
          <w:b/>
          <w:bCs/>
          <w:sz w:val="20"/>
          <w:szCs w:val="20"/>
        </w:rPr>
        <w:t>6</w:t>
      </w:r>
      <w:r w:rsidR="00117D9F">
        <w:rPr>
          <w:sz w:val="20"/>
          <w:szCs w:val="20"/>
        </w:rPr>
        <w:t xml:space="preserve">).  </w:t>
      </w:r>
      <w:r w:rsidR="005321C5">
        <w:rPr>
          <w:sz w:val="20"/>
          <w:szCs w:val="20"/>
        </w:rPr>
        <w:t xml:space="preserve">These ratios make it clear that Aurora’s management needs to improve in collecting its Accounts Receivables </w:t>
      </w:r>
      <w:r w:rsidR="00BC75F8">
        <w:rPr>
          <w:sz w:val="20"/>
          <w:szCs w:val="20"/>
        </w:rPr>
        <w:t xml:space="preserve">and converting them into cash </w:t>
      </w:r>
      <w:r w:rsidR="005321C5">
        <w:rPr>
          <w:sz w:val="20"/>
          <w:szCs w:val="20"/>
        </w:rPr>
        <w:t>in a timely manner.</w:t>
      </w:r>
    </w:p>
    <w:p w14:paraId="4C6F2F09" w14:textId="5A6C4DEF" w:rsidR="00712561" w:rsidRPr="00F611DC" w:rsidRDefault="00BF7EA9" w:rsidP="00773183">
      <w:pPr>
        <w:spacing w:line="240" w:lineRule="auto"/>
        <w:ind w:left="-720" w:right="-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 a positive note, Aurora’s management </w:t>
      </w:r>
      <w:r w:rsidRPr="00BC75F8">
        <w:rPr>
          <w:i/>
          <w:iCs/>
          <w:sz w:val="20"/>
          <w:szCs w:val="20"/>
        </w:rPr>
        <w:t>has</w:t>
      </w:r>
      <w:r>
        <w:rPr>
          <w:sz w:val="20"/>
          <w:szCs w:val="20"/>
        </w:rPr>
        <w:t xml:space="preserve"> improved </w:t>
      </w:r>
      <w:r w:rsidR="00BC75F8">
        <w:rPr>
          <w:sz w:val="20"/>
          <w:szCs w:val="20"/>
        </w:rPr>
        <w:t>on</w:t>
      </w:r>
      <w:r>
        <w:rPr>
          <w:sz w:val="20"/>
          <w:szCs w:val="20"/>
        </w:rPr>
        <w:t xml:space="preserve"> how long it is able to extend its Accounts Payable</w:t>
      </w:r>
      <w:r w:rsidR="005321C5">
        <w:rPr>
          <w:sz w:val="20"/>
          <w:szCs w:val="20"/>
        </w:rPr>
        <w:t>s</w:t>
      </w:r>
      <w:r w:rsidR="00BC75F8">
        <w:rPr>
          <w:sz w:val="20"/>
          <w:szCs w:val="20"/>
        </w:rPr>
        <w:t xml:space="preserve"> which rose</w:t>
      </w:r>
      <w:r w:rsidR="005321C5">
        <w:rPr>
          <w:sz w:val="20"/>
          <w:szCs w:val="20"/>
        </w:rPr>
        <w:t xml:space="preserve"> from </w:t>
      </w:r>
      <w:r w:rsidR="004F1B54">
        <w:rPr>
          <w:sz w:val="20"/>
          <w:szCs w:val="20"/>
        </w:rPr>
        <w:t>18 days in 2000 to 29 days in 2002 (</w:t>
      </w:r>
      <w:r w:rsidR="004F1B54" w:rsidRPr="00DE22AC">
        <w:rPr>
          <w:b/>
          <w:bCs/>
          <w:sz w:val="20"/>
          <w:szCs w:val="20"/>
        </w:rPr>
        <w:t>Exhibit 2</w:t>
      </w:r>
      <w:r w:rsidR="004F1B54">
        <w:rPr>
          <w:sz w:val="20"/>
          <w:szCs w:val="20"/>
        </w:rPr>
        <w:t xml:space="preserve">).  </w:t>
      </w:r>
      <w:r w:rsidR="00BE45E8">
        <w:rPr>
          <w:sz w:val="20"/>
          <w:szCs w:val="20"/>
        </w:rPr>
        <w:t>Similarly, the rise in Aurora’s Equity Multiplier (</w:t>
      </w:r>
      <w:r w:rsidR="00BE45E8" w:rsidRPr="00DE22AC">
        <w:rPr>
          <w:b/>
          <w:bCs/>
          <w:sz w:val="20"/>
          <w:szCs w:val="20"/>
        </w:rPr>
        <w:t xml:space="preserve">Exhibit </w:t>
      </w:r>
      <w:r w:rsidR="00DE22AC" w:rsidRPr="00DE22AC">
        <w:rPr>
          <w:b/>
          <w:bCs/>
          <w:sz w:val="20"/>
          <w:szCs w:val="20"/>
        </w:rPr>
        <w:t>5</w:t>
      </w:r>
      <w:r w:rsidR="00BE45E8">
        <w:rPr>
          <w:sz w:val="20"/>
          <w:szCs w:val="20"/>
        </w:rPr>
        <w:t xml:space="preserve">) </w:t>
      </w:r>
      <w:r w:rsidR="00FE6B38">
        <w:rPr>
          <w:sz w:val="20"/>
          <w:szCs w:val="20"/>
        </w:rPr>
        <w:t>indicate</w:t>
      </w:r>
      <w:r w:rsidR="00DE22AC">
        <w:rPr>
          <w:sz w:val="20"/>
          <w:szCs w:val="20"/>
        </w:rPr>
        <w:t>s</w:t>
      </w:r>
      <w:r w:rsidR="00FE6B38">
        <w:rPr>
          <w:sz w:val="20"/>
          <w:szCs w:val="20"/>
        </w:rPr>
        <w:t xml:space="preserve"> that </w:t>
      </w:r>
      <w:r w:rsidR="00DE22AC">
        <w:rPr>
          <w:sz w:val="20"/>
          <w:szCs w:val="20"/>
        </w:rPr>
        <w:t>Aurora</w:t>
      </w:r>
      <w:r w:rsidR="00FE6B38">
        <w:rPr>
          <w:sz w:val="20"/>
          <w:szCs w:val="20"/>
        </w:rPr>
        <w:t xml:space="preserve"> is using more</w:t>
      </w:r>
      <w:r w:rsidR="00FE6B38" w:rsidRPr="00FE6B38">
        <w:rPr>
          <w:sz w:val="20"/>
          <w:szCs w:val="20"/>
        </w:rPr>
        <w:t xml:space="preserve"> debt to finance </w:t>
      </w:r>
      <w:r w:rsidR="00DE22AC">
        <w:rPr>
          <w:sz w:val="20"/>
          <w:szCs w:val="20"/>
        </w:rPr>
        <w:t xml:space="preserve">its </w:t>
      </w:r>
      <w:r w:rsidR="00FE6B38" w:rsidRPr="00FE6B38">
        <w:rPr>
          <w:sz w:val="20"/>
          <w:szCs w:val="20"/>
        </w:rPr>
        <w:t>asset</w:t>
      </w:r>
      <w:r w:rsidR="00DE22AC">
        <w:rPr>
          <w:sz w:val="20"/>
          <w:szCs w:val="20"/>
        </w:rPr>
        <w:t xml:space="preserve"> purchases</w:t>
      </w:r>
      <w:r w:rsidR="00FE6B38">
        <w:rPr>
          <w:sz w:val="20"/>
          <w:szCs w:val="20"/>
        </w:rPr>
        <w:t xml:space="preserve">.  </w:t>
      </w:r>
      <w:r w:rsidR="004F1B54">
        <w:rPr>
          <w:sz w:val="20"/>
          <w:szCs w:val="20"/>
        </w:rPr>
        <w:t xml:space="preserve">However, the improvement in extending its credit terms from its suppliers </w:t>
      </w:r>
      <w:r w:rsidR="009E2719">
        <w:rPr>
          <w:sz w:val="20"/>
          <w:szCs w:val="20"/>
        </w:rPr>
        <w:t>is</w:t>
      </w:r>
      <w:r w:rsidR="004F1B54">
        <w:rPr>
          <w:sz w:val="20"/>
          <w:szCs w:val="20"/>
        </w:rPr>
        <w:t xml:space="preserve"> not enough to offset the rise in the firm’s CCC from the drastic rise in</w:t>
      </w:r>
      <w:r w:rsidR="00712561">
        <w:rPr>
          <w:sz w:val="20"/>
          <w:szCs w:val="20"/>
        </w:rPr>
        <w:t xml:space="preserve"> its</w:t>
      </w:r>
      <w:r w:rsidR="004F1B54">
        <w:rPr>
          <w:sz w:val="20"/>
          <w:szCs w:val="20"/>
        </w:rPr>
        <w:t xml:space="preserve"> Days Sales Outstanding</w:t>
      </w:r>
      <w:r w:rsidR="00F87A6B">
        <w:rPr>
          <w:sz w:val="20"/>
          <w:szCs w:val="20"/>
        </w:rPr>
        <w:t>, so additional improvements are needed</w:t>
      </w:r>
      <w:r w:rsidR="004F1B54">
        <w:rPr>
          <w:sz w:val="20"/>
          <w:szCs w:val="20"/>
        </w:rPr>
        <w:t>.</w:t>
      </w:r>
    </w:p>
    <w:p w14:paraId="724DC434" w14:textId="077F0B17" w:rsidR="00160B5E" w:rsidRPr="0070713A" w:rsidRDefault="0048608F" w:rsidP="00773183">
      <w:pPr>
        <w:spacing w:after="0"/>
        <w:ind w:left="-720" w:right="-720"/>
        <w:jc w:val="both"/>
        <w:rPr>
          <w:rFonts w:ascii="Arial" w:hAnsi="Arial" w:cs="Arial"/>
          <w:b/>
          <w:bCs/>
        </w:rPr>
      </w:pPr>
      <w:r w:rsidRPr="0070713A">
        <w:rPr>
          <w:rFonts w:ascii="Arial" w:hAnsi="Arial" w:cs="Arial"/>
          <w:b/>
          <w:bCs/>
        </w:rPr>
        <w:t xml:space="preserve">What is the state of the industry? How does </w:t>
      </w:r>
      <w:r w:rsidR="00813018" w:rsidRPr="0070713A">
        <w:rPr>
          <w:rFonts w:ascii="Arial" w:hAnsi="Arial" w:cs="Arial"/>
          <w:b/>
          <w:bCs/>
        </w:rPr>
        <w:t>this</w:t>
      </w:r>
      <w:r w:rsidRPr="0070713A">
        <w:rPr>
          <w:rFonts w:ascii="Arial" w:hAnsi="Arial" w:cs="Arial"/>
          <w:b/>
          <w:bCs/>
        </w:rPr>
        <w:t xml:space="preserve"> factor into your analysis?</w:t>
      </w:r>
    </w:p>
    <w:p w14:paraId="5B7E967F" w14:textId="31244D3D" w:rsidR="00E71761" w:rsidRDefault="00E71761" w:rsidP="00773183">
      <w:pPr>
        <w:spacing w:line="240" w:lineRule="auto"/>
        <w:ind w:left="-720" w:right="-720"/>
        <w:jc w:val="both"/>
        <w:rPr>
          <w:sz w:val="20"/>
          <w:szCs w:val="20"/>
        </w:rPr>
      </w:pPr>
      <w:r>
        <w:rPr>
          <w:sz w:val="20"/>
          <w:szCs w:val="20"/>
        </w:rPr>
        <w:t>The US Textile-mill industry has been in turmoil in recent years as the search for cheaper labor, lower environmental standards and gov’t subsidized operations have pushed domestic textile-mill operations outside the US.  Similarly, NAFTA and the CBI created a burden on the US textile industry by encouraging trade with Canada, Mexico, and Caribbean countries.</w:t>
      </w:r>
      <w:r w:rsidR="008C2703">
        <w:rPr>
          <w:sz w:val="20"/>
          <w:szCs w:val="20"/>
        </w:rPr>
        <w:t xml:space="preserve">  </w:t>
      </w:r>
      <w:r>
        <w:rPr>
          <w:sz w:val="20"/>
          <w:szCs w:val="20"/>
        </w:rPr>
        <w:t>Lower-priced goods for US consumers created an exceedingly difficult and competitive environment for US based textile companies</w:t>
      </w:r>
      <w:r w:rsidR="008C2703">
        <w:rPr>
          <w:sz w:val="20"/>
          <w:szCs w:val="20"/>
        </w:rPr>
        <w:t xml:space="preserve"> especially when a strong dollar incentivized some foreign manufacturers to export aggressively</w:t>
      </w:r>
      <w:r>
        <w:rPr>
          <w:sz w:val="20"/>
          <w:szCs w:val="20"/>
        </w:rPr>
        <w:t xml:space="preserve">.  </w:t>
      </w:r>
    </w:p>
    <w:p w14:paraId="163C2A3E" w14:textId="572A7C7D" w:rsidR="00216909" w:rsidRDefault="00615448" w:rsidP="005F4B4B">
      <w:pPr>
        <w:spacing w:after="0" w:line="240" w:lineRule="auto"/>
        <w:ind w:left="-720" w:right="-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As a result of the turmoil in the </w:t>
      </w:r>
      <w:r w:rsidR="008C2703">
        <w:rPr>
          <w:sz w:val="20"/>
          <w:szCs w:val="20"/>
        </w:rPr>
        <w:t>industry</w:t>
      </w:r>
      <w:r>
        <w:rPr>
          <w:sz w:val="20"/>
          <w:szCs w:val="20"/>
        </w:rPr>
        <w:t xml:space="preserve">, </w:t>
      </w:r>
      <w:r w:rsidR="008C2703">
        <w:rPr>
          <w:sz w:val="20"/>
          <w:szCs w:val="20"/>
        </w:rPr>
        <w:t>U.S. yarn manufacturers have been declining in number</w:t>
      </w:r>
      <w:r>
        <w:rPr>
          <w:sz w:val="20"/>
          <w:szCs w:val="20"/>
        </w:rPr>
        <w:t xml:space="preserve">.  </w:t>
      </w:r>
      <w:r w:rsidR="00E71761">
        <w:rPr>
          <w:sz w:val="20"/>
          <w:szCs w:val="20"/>
        </w:rPr>
        <w:t xml:space="preserve">However, </w:t>
      </w:r>
      <w:r>
        <w:rPr>
          <w:sz w:val="20"/>
          <w:szCs w:val="20"/>
        </w:rPr>
        <w:t xml:space="preserve">Aurora </w:t>
      </w:r>
      <w:r w:rsidR="00AE6C29">
        <w:rPr>
          <w:sz w:val="20"/>
          <w:szCs w:val="20"/>
        </w:rPr>
        <w:t>has survived</w:t>
      </w:r>
      <w:r>
        <w:rPr>
          <w:sz w:val="20"/>
          <w:szCs w:val="20"/>
        </w:rPr>
        <w:t xml:space="preserve"> and has identified a few select markets that are expected to survive foreign competition</w:t>
      </w:r>
      <w:r w:rsidR="004176A1">
        <w:rPr>
          <w:sz w:val="20"/>
          <w:szCs w:val="20"/>
        </w:rPr>
        <w:t xml:space="preserve"> (</w:t>
      </w:r>
      <w:r w:rsidR="004176A1" w:rsidRPr="004176A1">
        <w:rPr>
          <w:b/>
          <w:bCs/>
          <w:sz w:val="20"/>
          <w:szCs w:val="20"/>
        </w:rPr>
        <w:t>Exhibit 3</w:t>
      </w:r>
      <w:r w:rsidR="004176A1">
        <w:rPr>
          <w:sz w:val="20"/>
          <w:szCs w:val="20"/>
        </w:rPr>
        <w:t>)</w:t>
      </w:r>
      <w:r>
        <w:rPr>
          <w:sz w:val="20"/>
          <w:szCs w:val="20"/>
        </w:rPr>
        <w:t xml:space="preserve">.   Cost-cutting, margin-boosting, modernization, and innovation are thought to be key to remaining viable in this new environment.  Similarly, research analysts believe that going forward prices and costs will increase at a 1% inflation rate for the foreseeable future.  </w:t>
      </w:r>
      <w:r w:rsidR="00D06980">
        <w:rPr>
          <w:sz w:val="20"/>
          <w:szCs w:val="20"/>
        </w:rPr>
        <w:t>Although i</w:t>
      </w:r>
      <w:r w:rsidR="00731D76">
        <w:rPr>
          <w:sz w:val="20"/>
          <w:szCs w:val="20"/>
        </w:rPr>
        <w:t>t is d</w:t>
      </w:r>
      <w:r w:rsidR="00216909">
        <w:rPr>
          <w:sz w:val="20"/>
          <w:szCs w:val="20"/>
        </w:rPr>
        <w:t>ifficult to benchmark Aurora’s performance against its competition because of lack of data</w:t>
      </w:r>
      <w:r w:rsidR="00731D76">
        <w:rPr>
          <w:sz w:val="20"/>
          <w:szCs w:val="20"/>
        </w:rPr>
        <w:t xml:space="preserve">, the </w:t>
      </w:r>
      <w:proofErr w:type="spellStart"/>
      <w:r w:rsidR="00731D76">
        <w:rPr>
          <w:sz w:val="20"/>
          <w:szCs w:val="20"/>
        </w:rPr>
        <w:t>Zinser</w:t>
      </w:r>
      <w:proofErr w:type="spellEnd"/>
      <w:r w:rsidR="00731D76">
        <w:rPr>
          <w:sz w:val="20"/>
          <w:szCs w:val="20"/>
        </w:rPr>
        <w:t xml:space="preserve"> investment </w:t>
      </w:r>
      <w:r w:rsidR="00683D8F">
        <w:rPr>
          <w:sz w:val="20"/>
          <w:szCs w:val="20"/>
        </w:rPr>
        <w:t xml:space="preserve">is a step in the right direction in gaining </w:t>
      </w:r>
      <w:r w:rsidR="00731D76">
        <w:rPr>
          <w:sz w:val="20"/>
          <w:szCs w:val="20"/>
        </w:rPr>
        <w:t>the margin</w:t>
      </w:r>
      <w:r w:rsidR="00D06980">
        <w:rPr>
          <w:sz w:val="20"/>
          <w:szCs w:val="20"/>
        </w:rPr>
        <w:t>-</w:t>
      </w:r>
      <w:r w:rsidR="00731D76">
        <w:rPr>
          <w:sz w:val="20"/>
          <w:szCs w:val="20"/>
        </w:rPr>
        <w:t xml:space="preserve">boosting, </w:t>
      </w:r>
      <w:r w:rsidR="004B0F75">
        <w:rPr>
          <w:sz w:val="20"/>
          <w:szCs w:val="20"/>
        </w:rPr>
        <w:t>cost-cutting,</w:t>
      </w:r>
      <w:r w:rsidR="00731D76">
        <w:rPr>
          <w:sz w:val="20"/>
          <w:szCs w:val="20"/>
        </w:rPr>
        <w:t xml:space="preserve"> and innovation</w:t>
      </w:r>
      <w:r w:rsidR="00D06980">
        <w:rPr>
          <w:sz w:val="20"/>
          <w:szCs w:val="20"/>
        </w:rPr>
        <w:t xml:space="preserve"> necessary</w:t>
      </w:r>
      <w:r w:rsidR="00731D76">
        <w:rPr>
          <w:sz w:val="20"/>
          <w:szCs w:val="20"/>
        </w:rPr>
        <w:t xml:space="preserve"> to allow Aurora to be competitive </w:t>
      </w:r>
      <w:r w:rsidR="00D06980">
        <w:rPr>
          <w:sz w:val="20"/>
          <w:szCs w:val="20"/>
        </w:rPr>
        <w:t xml:space="preserve">in </w:t>
      </w:r>
      <w:r w:rsidR="00AE6C29">
        <w:rPr>
          <w:sz w:val="20"/>
          <w:szCs w:val="20"/>
        </w:rPr>
        <w:t>the new competitive landscape</w:t>
      </w:r>
      <w:r w:rsidR="00D06980">
        <w:rPr>
          <w:sz w:val="20"/>
          <w:szCs w:val="20"/>
        </w:rPr>
        <w:t>.</w:t>
      </w:r>
    </w:p>
    <w:p w14:paraId="59B47213" w14:textId="77777777" w:rsidR="005F4B4B" w:rsidRDefault="005F4B4B" w:rsidP="00F21DB3">
      <w:pPr>
        <w:ind w:left="-720" w:right="-720"/>
        <w:jc w:val="both"/>
        <w:rPr>
          <w:rFonts w:ascii="Arial" w:hAnsi="Arial" w:cs="Arial"/>
          <w:b/>
          <w:bCs/>
        </w:rPr>
      </w:pPr>
    </w:p>
    <w:p w14:paraId="6B58C29B" w14:textId="6AF87BDB" w:rsidR="00CE6F09" w:rsidRPr="0070713A" w:rsidRDefault="00222F6D" w:rsidP="005F4B4B">
      <w:pPr>
        <w:spacing w:after="0"/>
        <w:ind w:left="-720" w:right="-720"/>
        <w:jc w:val="both"/>
        <w:rPr>
          <w:rFonts w:ascii="Arial" w:hAnsi="Arial" w:cs="Arial"/>
          <w:b/>
          <w:bCs/>
        </w:rPr>
      </w:pPr>
      <w:r w:rsidRPr="0070713A">
        <w:rPr>
          <w:rFonts w:ascii="Arial" w:hAnsi="Arial" w:cs="Arial"/>
          <w:b/>
          <w:bCs/>
        </w:rPr>
        <w:t xml:space="preserve">What is the NPV of the proposed </w:t>
      </w:r>
      <w:proofErr w:type="spellStart"/>
      <w:r w:rsidRPr="0070713A">
        <w:rPr>
          <w:rFonts w:ascii="Arial" w:hAnsi="Arial" w:cs="Arial"/>
          <w:b/>
          <w:bCs/>
        </w:rPr>
        <w:t>Zinser</w:t>
      </w:r>
      <w:proofErr w:type="spellEnd"/>
      <w:r w:rsidRPr="0070713A">
        <w:rPr>
          <w:rFonts w:ascii="Arial" w:hAnsi="Arial" w:cs="Arial"/>
          <w:b/>
          <w:bCs/>
        </w:rPr>
        <w:t xml:space="preserve"> 351 investment?</w:t>
      </w:r>
      <w:r w:rsidR="00981680" w:rsidRPr="0070713A">
        <w:rPr>
          <w:rFonts w:ascii="Arial" w:hAnsi="Arial" w:cs="Arial"/>
          <w:b/>
          <w:bCs/>
        </w:rPr>
        <w:t xml:space="preserve"> </w:t>
      </w:r>
    </w:p>
    <w:p w14:paraId="23A811EA" w14:textId="7EB019B0" w:rsidR="004B0F75" w:rsidRPr="004B0F75" w:rsidRDefault="00CE6F09" w:rsidP="00773183">
      <w:pPr>
        <w:spacing w:line="240" w:lineRule="auto"/>
        <w:ind w:left="-720" w:right="-720"/>
        <w:jc w:val="both"/>
        <w:rPr>
          <w:sz w:val="20"/>
          <w:szCs w:val="20"/>
        </w:rPr>
      </w:pPr>
      <w:r w:rsidRPr="00FD2C24">
        <w:rPr>
          <w:sz w:val="20"/>
          <w:szCs w:val="20"/>
          <w:u w:val="single"/>
        </w:rPr>
        <w:t xml:space="preserve">The 10-year incremental </w:t>
      </w:r>
      <w:r w:rsidRPr="00FD2C24">
        <w:rPr>
          <w:b/>
          <w:bCs/>
          <w:sz w:val="20"/>
          <w:szCs w:val="20"/>
          <w:u w:val="single"/>
        </w:rPr>
        <w:t>NPV</w:t>
      </w:r>
      <w:r w:rsidRPr="00FD2C24">
        <w:rPr>
          <w:sz w:val="20"/>
          <w:szCs w:val="20"/>
          <w:u w:val="single"/>
        </w:rPr>
        <w:t xml:space="preserve"> of the </w:t>
      </w:r>
      <w:proofErr w:type="spellStart"/>
      <w:r w:rsidRPr="00FD2C24">
        <w:rPr>
          <w:sz w:val="20"/>
          <w:szCs w:val="20"/>
          <w:u w:val="single"/>
        </w:rPr>
        <w:t>Zinser</w:t>
      </w:r>
      <w:proofErr w:type="spellEnd"/>
      <w:r w:rsidRPr="00FD2C24">
        <w:rPr>
          <w:sz w:val="20"/>
          <w:szCs w:val="20"/>
          <w:u w:val="single"/>
        </w:rPr>
        <w:t xml:space="preserve"> </w:t>
      </w:r>
      <w:r w:rsidR="006E5B10" w:rsidRPr="00FD2C24">
        <w:rPr>
          <w:sz w:val="20"/>
          <w:szCs w:val="20"/>
          <w:u w:val="single"/>
        </w:rPr>
        <w:t xml:space="preserve">investment is </w:t>
      </w:r>
      <w:r w:rsidR="006E5B10" w:rsidRPr="00FD2C24">
        <w:rPr>
          <w:b/>
          <w:bCs/>
          <w:sz w:val="20"/>
          <w:szCs w:val="20"/>
          <w:u w:val="single"/>
        </w:rPr>
        <w:t>$6,</w:t>
      </w:r>
      <w:r w:rsidR="005E2933">
        <w:rPr>
          <w:b/>
          <w:bCs/>
          <w:sz w:val="20"/>
          <w:szCs w:val="20"/>
          <w:u w:val="single"/>
        </w:rPr>
        <w:t>421</w:t>
      </w:r>
      <w:r w:rsidR="006E5B10" w:rsidRPr="00FD2C24">
        <w:rPr>
          <w:b/>
          <w:bCs/>
          <w:sz w:val="20"/>
          <w:szCs w:val="20"/>
          <w:u w:val="single"/>
        </w:rPr>
        <w:t>,000</w:t>
      </w:r>
      <w:r w:rsidR="006E5B10" w:rsidRPr="00FD2C24">
        <w:rPr>
          <w:sz w:val="20"/>
          <w:szCs w:val="20"/>
          <w:u w:val="single"/>
        </w:rPr>
        <w:t xml:space="preserve"> with a 10-year incremental </w:t>
      </w:r>
      <w:r w:rsidR="006E5B10" w:rsidRPr="00FD2C24">
        <w:rPr>
          <w:b/>
          <w:bCs/>
          <w:sz w:val="20"/>
          <w:szCs w:val="20"/>
          <w:u w:val="single"/>
        </w:rPr>
        <w:t>IRR</w:t>
      </w:r>
      <w:r w:rsidR="006E5B10" w:rsidRPr="00FD2C24">
        <w:rPr>
          <w:sz w:val="20"/>
          <w:szCs w:val="20"/>
          <w:u w:val="single"/>
        </w:rPr>
        <w:t xml:space="preserve"> of </w:t>
      </w:r>
      <w:r w:rsidR="005E2933">
        <w:rPr>
          <w:b/>
          <w:bCs/>
          <w:sz w:val="20"/>
          <w:szCs w:val="20"/>
          <w:u w:val="single"/>
        </w:rPr>
        <w:t>26.43</w:t>
      </w:r>
      <w:r w:rsidR="006E5B10" w:rsidRPr="005C3502">
        <w:rPr>
          <w:b/>
          <w:bCs/>
          <w:sz w:val="20"/>
          <w:szCs w:val="20"/>
          <w:u w:val="single"/>
        </w:rPr>
        <w:t>%</w:t>
      </w:r>
      <w:r w:rsidR="006E5B10" w:rsidRPr="005C3502">
        <w:rPr>
          <w:sz w:val="20"/>
          <w:szCs w:val="20"/>
          <w:u w:val="single"/>
        </w:rPr>
        <w:t xml:space="preserve"> (</w:t>
      </w:r>
      <w:r w:rsidR="006E5B10" w:rsidRPr="00780032">
        <w:rPr>
          <w:b/>
          <w:bCs/>
          <w:sz w:val="20"/>
          <w:szCs w:val="20"/>
          <w:u w:val="single"/>
        </w:rPr>
        <w:t>Exhibit 1</w:t>
      </w:r>
      <w:r w:rsidR="00780032" w:rsidRPr="00780032">
        <w:rPr>
          <w:b/>
          <w:bCs/>
          <w:sz w:val="20"/>
          <w:szCs w:val="20"/>
          <w:u w:val="single"/>
        </w:rPr>
        <w:t>4</w:t>
      </w:r>
      <w:r w:rsidR="006E5B10" w:rsidRPr="005C3502">
        <w:rPr>
          <w:sz w:val="20"/>
          <w:szCs w:val="20"/>
          <w:u w:val="single"/>
        </w:rPr>
        <w:t>)</w:t>
      </w:r>
      <w:r w:rsidR="006E5B10" w:rsidRPr="004B0F75">
        <w:rPr>
          <w:sz w:val="20"/>
          <w:szCs w:val="20"/>
        </w:rPr>
        <w:t xml:space="preserve">.  Given the </w:t>
      </w:r>
      <w:r w:rsidR="00E81426">
        <w:rPr>
          <w:sz w:val="20"/>
          <w:szCs w:val="20"/>
        </w:rPr>
        <w:t>positive</w:t>
      </w:r>
      <w:r w:rsidR="0015646D" w:rsidRPr="004B0F75">
        <w:rPr>
          <w:sz w:val="20"/>
          <w:szCs w:val="20"/>
        </w:rPr>
        <w:t xml:space="preserve"> </w:t>
      </w:r>
      <w:r w:rsidR="006E5B10" w:rsidRPr="004B0F75">
        <w:rPr>
          <w:sz w:val="20"/>
          <w:szCs w:val="20"/>
        </w:rPr>
        <w:t>NPV</w:t>
      </w:r>
      <w:r w:rsidR="0015646D" w:rsidRPr="004B0F75">
        <w:rPr>
          <w:sz w:val="20"/>
          <w:szCs w:val="20"/>
        </w:rPr>
        <w:t xml:space="preserve"> and </w:t>
      </w:r>
      <w:r w:rsidR="00780032">
        <w:rPr>
          <w:sz w:val="20"/>
          <w:szCs w:val="20"/>
        </w:rPr>
        <w:t>an</w:t>
      </w:r>
      <w:r w:rsidR="0015646D" w:rsidRPr="004B0F75">
        <w:rPr>
          <w:sz w:val="20"/>
          <w:szCs w:val="20"/>
        </w:rPr>
        <w:t xml:space="preserve"> IRR that easily surpasses the hurdle rate of 10%, </w:t>
      </w:r>
      <w:r w:rsidR="0015646D" w:rsidRPr="005C3502">
        <w:rPr>
          <w:b/>
          <w:bCs/>
          <w:sz w:val="20"/>
          <w:szCs w:val="20"/>
          <w:u w:val="single"/>
        </w:rPr>
        <w:t xml:space="preserve">The </w:t>
      </w:r>
      <w:proofErr w:type="spellStart"/>
      <w:r w:rsidR="0015646D" w:rsidRPr="005C3502">
        <w:rPr>
          <w:b/>
          <w:bCs/>
          <w:sz w:val="20"/>
          <w:szCs w:val="20"/>
          <w:u w:val="single"/>
        </w:rPr>
        <w:t>Zinser</w:t>
      </w:r>
      <w:proofErr w:type="spellEnd"/>
      <w:r w:rsidR="0015646D" w:rsidRPr="005C3502">
        <w:rPr>
          <w:b/>
          <w:bCs/>
          <w:sz w:val="20"/>
          <w:szCs w:val="20"/>
          <w:u w:val="single"/>
        </w:rPr>
        <w:t xml:space="preserve"> investment decision is a definite yes</w:t>
      </w:r>
      <w:r w:rsidR="0015646D" w:rsidRPr="004B0F75">
        <w:rPr>
          <w:sz w:val="20"/>
          <w:szCs w:val="20"/>
        </w:rPr>
        <w:t xml:space="preserve">.  </w:t>
      </w:r>
      <w:r w:rsidR="00981680" w:rsidRPr="004B0F75">
        <w:rPr>
          <w:sz w:val="20"/>
          <w:szCs w:val="20"/>
        </w:rPr>
        <w:t xml:space="preserve">If the </w:t>
      </w:r>
      <w:proofErr w:type="spellStart"/>
      <w:r w:rsidR="00981680" w:rsidRPr="004B0F75">
        <w:rPr>
          <w:sz w:val="20"/>
          <w:szCs w:val="20"/>
        </w:rPr>
        <w:t>Zinser</w:t>
      </w:r>
      <w:proofErr w:type="spellEnd"/>
      <w:r w:rsidR="00981680" w:rsidRPr="004B0F75">
        <w:rPr>
          <w:sz w:val="20"/>
          <w:szCs w:val="20"/>
        </w:rPr>
        <w:t xml:space="preserve"> </w:t>
      </w:r>
      <w:r w:rsidR="0015646D" w:rsidRPr="004B0F75">
        <w:rPr>
          <w:sz w:val="20"/>
          <w:szCs w:val="20"/>
        </w:rPr>
        <w:t xml:space="preserve">investment </w:t>
      </w:r>
      <w:r w:rsidR="00981680" w:rsidRPr="004B0F75">
        <w:rPr>
          <w:sz w:val="20"/>
          <w:szCs w:val="20"/>
        </w:rPr>
        <w:t>reduce</w:t>
      </w:r>
      <w:r w:rsidR="00335F01" w:rsidRPr="004B0F75">
        <w:rPr>
          <w:sz w:val="20"/>
          <w:szCs w:val="20"/>
        </w:rPr>
        <w:t>d</w:t>
      </w:r>
      <w:r w:rsidR="00981680" w:rsidRPr="004B0F75">
        <w:rPr>
          <w:sz w:val="20"/>
          <w:szCs w:val="20"/>
        </w:rPr>
        <w:t xml:space="preserve"> required raw materials inventory </w:t>
      </w:r>
      <w:r w:rsidR="00656BE3" w:rsidRPr="004B0F75">
        <w:rPr>
          <w:sz w:val="20"/>
          <w:szCs w:val="20"/>
        </w:rPr>
        <w:t>levels,</w:t>
      </w:r>
      <w:r w:rsidR="0015646D" w:rsidRPr="004B0F75">
        <w:rPr>
          <w:sz w:val="20"/>
          <w:szCs w:val="20"/>
        </w:rPr>
        <w:t xml:space="preserve"> then </w:t>
      </w:r>
      <w:r w:rsidR="005E2933">
        <w:rPr>
          <w:sz w:val="20"/>
          <w:szCs w:val="20"/>
        </w:rPr>
        <w:t>Aurora’s investment</w:t>
      </w:r>
      <w:r w:rsidR="00780032">
        <w:rPr>
          <w:sz w:val="20"/>
          <w:szCs w:val="20"/>
        </w:rPr>
        <w:t>s</w:t>
      </w:r>
      <w:r w:rsidR="005E2933">
        <w:rPr>
          <w:sz w:val="20"/>
          <w:szCs w:val="20"/>
        </w:rPr>
        <w:t xml:space="preserve"> in </w:t>
      </w:r>
      <w:r w:rsidR="0015646D" w:rsidRPr="004B0F75">
        <w:rPr>
          <w:sz w:val="20"/>
          <w:szCs w:val="20"/>
        </w:rPr>
        <w:t xml:space="preserve">net working capital would </w:t>
      </w:r>
      <w:r w:rsidR="00656BE3" w:rsidRPr="004B0F75">
        <w:rPr>
          <w:sz w:val="20"/>
          <w:szCs w:val="20"/>
        </w:rPr>
        <w:t>go down which would</w:t>
      </w:r>
      <w:r w:rsidR="00780032">
        <w:rPr>
          <w:sz w:val="20"/>
          <w:szCs w:val="20"/>
        </w:rPr>
        <w:t xml:space="preserve"> in turn</w:t>
      </w:r>
      <w:r w:rsidR="00656BE3" w:rsidRPr="004B0F75">
        <w:rPr>
          <w:sz w:val="20"/>
          <w:szCs w:val="20"/>
        </w:rPr>
        <w:t xml:space="preserve"> increase operating cash flows and improve the investment’s NPV and IRR.  </w:t>
      </w:r>
    </w:p>
    <w:p w14:paraId="05A5356D" w14:textId="4A87E025" w:rsidR="00E81426" w:rsidRDefault="00981680" w:rsidP="00773183">
      <w:pPr>
        <w:spacing w:line="240" w:lineRule="auto"/>
        <w:ind w:left="-720" w:right="-720"/>
        <w:jc w:val="both"/>
        <w:rPr>
          <w:sz w:val="20"/>
          <w:szCs w:val="20"/>
        </w:rPr>
      </w:pPr>
      <w:r w:rsidRPr="004B0F75">
        <w:rPr>
          <w:sz w:val="20"/>
          <w:szCs w:val="20"/>
        </w:rPr>
        <w:t xml:space="preserve">If the </w:t>
      </w:r>
      <w:r w:rsidR="004B0F75" w:rsidRPr="004B0F75">
        <w:rPr>
          <w:sz w:val="20"/>
          <w:szCs w:val="20"/>
        </w:rPr>
        <w:t xml:space="preserve">market </w:t>
      </w:r>
      <w:r w:rsidRPr="004B0F75">
        <w:rPr>
          <w:sz w:val="20"/>
          <w:szCs w:val="20"/>
        </w:rPr>
        <w:t>collapse</w:t>
      </w:r>
      <w:r w:rsidR="004B0F75" w:rsidRPr="004B0F75">
        <w:rPr>
          <w:sz w:val="20"/>
          <w:szCs w:val="20"/>
        </w:rPr>
        <w:t>d</w:t>
      </w:r>
      <w:r w:rsidRPr="004B0F75">
        <w:rPr>
          <w:sz w:val="20"/>
          <w:szCs w:val="20"/>
        </w:rPr>
        <w:t xml:space="preserve"> in three years </w:t>
      </w:r>
      <w:r w:rsidR="004B0F75" w:rsidRPr="004B0F75">
        <w:rPr>
          <w:sz w:val="20"/>
          <w:szCs w:val="20"/>
        </w:rPr>
        <w:t>because of</w:t>
      </w:r>
      <w:r w:rsidRPr="004B0F75">
        <w:rPr>
          <w:sz w:val="20"/>
          <w:szCs w:val="20"/>
        </w:rPr>
        <w:t xml:space="preserve"> the elimination of quotas </w:t>
      </w:r>
      <w:r w:rsidR="004B0F75" w:rsidRPr="004B0F75">
        <w:rPr>
          <w:sz w:val="20"/>
          <w:szCs w:val="20"/>
        </w:rPr>
        <w:t>I would still recommend the investment</w:t>
      </w:r>
      <w:r w:rsidR="00B221A8">
        <w:rPr>
          <w:sz w:val="20"/>
          <w:szCs w:val="20"/>
        </w:rPr>
        <w:t xml:space="preserve">, because if it is assumed that the </w:t>
      </w:r>
      <w:proofErr w:type="spellStart"/>
      <w:r w:rsidR="00B221A8">
        <w:rPr>
          <w:sz w:val="20"/>
          <w:szCs w:val="20"/>
        </w:rPr>
        <w:t>Zinser</w:t>
      </w:r>
      <w:proofErr w:type="spellEnd"/>
      <w:r w:rsidR="00B221A8">
        <w:rPr>
          <w:sz w:val="20"/>
          <w:szCs w:val="20"/>
        </w:rPr>
        <w:t xml:space="preserve"> machine could be sold for half of its book value each year after is purchase</w:t>
      </w:r>
      <w:r w:rsidR="002F0513">
        <w:rPr>
          <w:sz w:val="20"/>
          <w:szCs w:val="20"/>
        </w:rPr>
        <w:t xml:space="preserve"> (</w:t>
      </w:r>
      <w:r w:rsidR="002F0513" w:rsidRPr="00780032">
        <w:rPr>
          <w:b/>
          <w:bCs/>
          <w:sz w:val="20"/>
          <w:szCs w:val="20"/>
        </w:rPr>
        <w:t xml:space="preserve">Exhibit </w:t>
      </w:r>
      <w:r w:rsidR="00780032" w:rsidRPr="00780032">
        <w:rPr>
          <w:b/>
          <w:bCs/>
          <w:sz w:val="20"/>
          <w:szCs w:val="20"/>
        </w:rPr>
        <w:t>9</w:t>
      </w:r>
      <w:r w:rsidR="002F0513">
        <w:rPr>
          <w:sz w:val="20"/>
          <w:szCs w:val="20"/>
        </w:rPr>
        <w:t>)</w:t>
      </w:r>
      <w:r w:rsidR="00B221A8">
        <w:rPr>
          <w:sz w:val="20"/>
          <w:szCs w:val="20"/>
        </w:rPr>
        <w:t xml:space="preserve">, then we can perform a linear estimate of the project’s </w:t>
      </w:r>
      <w:r w:rsidR="00FD2C24">
        <w:rPr>
          <w:sz w:val="20"/>
          <w:szCs w:val="20"/>
        </w:rPr>
        <w:t>NPV</w:t>
      </w:r>
      <w:r w:rsidR="00B221A8">
        <w:rPr>
          <w:sz w:val="20"/>
          <w:szCs w:val="20"/>
        </w:rPr>
        <w:t>.  The</w:t>
      </w:r>
      <w:r w:rsidR="00FD2C24">
        <w:rPr>
          <w:sz w:val="20"/>
          <w:szCs w:val="20"/>
        </w:rPr>
        <w:t xml:space="preserve"> linear estimate states that the </w:t>
      </w:r>
      <w:proofErr w:type="spellStart"/>
      <w:r w:rsidR="00FD2C24">
        <w:rPr>
          <w:sz w:val="20"/>
          <w:szCs w:val="20"/>
        </w:rPr>
        <w:t>Zinser</w:t>
      </w:r>
      <w:proofErr w:type="spellEnd"/>
      <w:r w:rsidR="00B221A8">
        <w:rPr>
          <w:sz w:val="20"/>
          <w:szCs w:val="20"/>
        </w:rPr>
        <w:t xml:space="preserve"> investment becomes profitable after the 2.</w:t>
      </w:r>
      <w:r w:rsidR="005E2933">
        <w:rPr>
          <w:sz w:val="20"/>
          <w:szCs w:val="20"/>
        </w:rPr>
        <w:t>4</w:t>
      </w:r>
      <w:r w:rsidR="00B221A8">
        <w:rPr>
          <w:sz w:val="20"/>
          <w:szCs w:val="20"/>
        </w:rPr>
        <w:t>2-year mark (</w:t>
      </w:r>
      <w:r w:rsidR="00B221A8" w:rsidRPr="00510540">
        <w:rPr>
          <w:b/>
          <w:bCs/>
          <w:sz w:val="20"/>
          <w:szCs w:val="20"/>
        </w:rPr>
        <w:t>Exhibit 1</w:t>
      </w:r>
      <w:r w:rsidR="00510540" w:rsidRPr="00510540">
        <w:rPr>
          <w:b/>
          <w:bCs/>
          <w:sz w:val="20"/>
          <w:szCs w:val="20"/>
        </w:rPr>
        <w:t>5</w:t>
      </w:r>
      <w:r w:rsidR="00B221A8">
        <w:rPr>
          <w:sz w:val="20"/>
          <w:szCs w:val="20"/>
        </w:rPr>
        <w:t xml:space="preserve">).  </w:t>
      </w:r>
      <w:r w:rsidR="00E81426">
        <w:rPr>
          <w:sz w:val="20"/>
          <w:szCs w:val="20"/>
        </w:rPr>
        <w:t xml:space="preserve">Thus, at year 3, we are in positive NPV territory, so the investment still makes sense.  </w:t>
      </w:r>
    </w:p>
    <w:p w14:paraId="2BBB3307" w14:textId="4C97E43B" w:rsidR="00222F6D" w:rsidRPr="004B0F75" w:rsidRDefault="00177860" w:rsidP="00773183">
      <w:pPr>
        <w:spacing w:line="240" w:lineRule="auto"/>
        <w:ind w:left="-720" w:right="-720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="00BF7E87" w:rsidRPr="004B0F75">
        <w:rPr>
          <w:sz w:val="20"/>
          <w:szCs w:val="20"/>
        </w:rPr>
        <w:t>he marketing research cost</w:t>
      </w:r>
      <w:r w:rsidR="00E81426">
        <w:rPr>
          <w:sz w:val="20"/>
          <w:szCs w:val="20"/>
        </w:rPr>
        <w:t>s</w:t>
      </w:r>
      <w:r w:rsidR="00BF7E87" w:rsidRPr="004B0F75">
        <w:rPr>
          <w:sz w:val="20"/>
          <w:szCs w:val="20"/>
        </w:rPr>
        <w:t xml:space="preserve"> </w:t>
      </w:r>
      <w:r>
        <w:rPr>
          <w:sz w:val="20"/>
          <w:szCs w:val="20"/>
        </w:rPr>
        <w:t>($15,000) and</w:t>
      </w:r>
      <w:r w:rsidR="00BF7E87" w:rsidRPr="004B0F75">
        <w:rPr>
          <w:sz w:val="20"/>
          <w:szCs w:val="20"/>
        </w:rPr>
        <w:t xml:space="preserve"> the engineering tests </w:t>
      </w:r>
      <w:r>
        <w:rPr>
          <w:sz w:val="20"/>
          <w:szCs w:val="20"/>
        </w:rPr>
        <w:t xml:space="preserve">($5000) are sunk costs and should not be </w:t>
      </w:r>
      <w:r w:rsidR="00BF7E87" w:rsidRPr="004B0F75">
        <w:rPr>
          <w:sz w:val="20"/>
          <w:szCs w:val="20"/>
        </w:rPr>
        <w:t>included in the</w:t>
      </w:r>
      <w:r>
        <w:rPr>
          <w:sz w:val="20"/>
          <w:szCs w:val="20"/>
        </w:rPr>
        <w:t xml:space="preserve"> operating cash flows of our analysis.</w:t>
      </w:r>
    </w:p>
    <w:p w14:paraId="712EAA72" w14:textId="5DB96DFD" w:rsidR="00BF7E87" w:rsidRPr="0070713A" w:rsidRDefault="00177860" w:rsidP="0070713A">
      <w:pPr>
        <w:ind w:left="-720" w:right="-720"/>
        <w:jc w:val="both"/>
        <w:rPr>
          <w:rFonts w:ascii="Arial" w:hAnsi="Arial" w:cs="Arial"/>
          <w:b/>
          <w:bCs/>
        </w:rPr>
      </w:pPr>
      <w:r w:rsidRPr="0070713A">
        <w:rPr>
          <w:rFonts w:ascii="Arial" w:hAnsi="Arial" w:cs="Arial"/>
          <w:b/>
          <w:bCs/>
        </w:rPr>
        <w:t>H</w:t>
      </w:r>
      <w:r w:rsidR="00BF7E87" w:rsidRPr="0070713A">
        <w:rPr>
          <w:rFonts w:ascii="Arial" w:hAnsi="Arial" w:cs="Arial"/>
          <w:b/>
          <w:bCs/>
        </w:rPr>
        <w:t>ow do you justify your decision to the Board of Directors? Should you invest or pay a dividend?</w:t>
      </w:r>
    </w:p>
    <w:p w14:paraId="738CB6BF" w14:textId="639EE6C0" w:rsidR="00160B5E" w:rsidRDefault="00E81426" w:rsidP="00773183">
      <w:pPr>
        <w:spacing w:after="0"/>
        <w:ind w:left="-720" w:right="-7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Ladies and Gentlemen of the Board of </w:t>
      </w:r>
      <w:r w:rsidR="005F2760">
        <w:rPr>
          <w:rFonts w:cs="Arial"/>
          <w:sz w:val="20"/>
          <w:szCs w:val="20"/>
        </w:rPr>
        <w:t>Directors,</w:t>
      </w:r>
    </w:p>
    <w:p w14:paraId="62073096" w14:textId="77777777" w:rsidR="00E01594" w:rsidRPr="00BC75F8" w:rsidRDefault="00E01594" w:rsidP="00773183">
      <w:pPr>
        <w:spacing w:after="0"/>
        <w:ind w:left="-720" w:right="-720"/>
        <w:jc w:val="both"/>
        <w:rPr>
          <w:rFonts w:cs="Arial"/>
          <w:sz w:val="16"/>
          <w:szCs w:val="16"/>
        </w:rPr>
      </w:pPr>
    </w:p>
    <w:p w14:paraId="44C23F5B" w14:textId="3AEDA48E" w:rsidR="00E81426" w:rsidRPr="00E81426" w:rsidRDefault="00E81426" w:rsidP="00773183">
      <w:pPr>
        <w:ind w:left="-720" w:right="-7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After careful consideration and analysis, I am </w:t>
      </w:r>
      <w:r w:rsidR="00297081">
        <w:rPr>
          <w:rFonts w:cs="Arial"/>
          <w:sz w:val="20"/>
          <w:szCs w:val="20"/>
        </w:rPr>
        <w:t>confident</w:t>
      </w:r>
      <w:r>
        <w:rPr>
          <w:rFonts w:cs="Arial"/>
          <w:sz w:val="20"/>
          <w:szCs w:val="20"/>
        </w:rPr>
        <w:t xml:space="preserve"> in recommending that we move forward with the </w:t>
      </w:r>
      <w:proofErr w:type="spellStart"/>
      <w:r>
        <w:rPr>
          <w:rFonts w:cs="Arial"/>
          <w:sz w:val="20"/>
          <w:szCs w:val="20"/>
        </w:rPr>
        <w:t>Zinser</w:t>
      </w:r>
      <w:proofErr w:type="spellEnd"/>
      <w:r>
        <w:rPr>
          <w:rFonts w:cs="Arial"/>
          <w:sz w:val="20"/>
          <w:szCs w:val="20"/>
        </w:rPr>
        <w:t xml:space="preserve"> 351 </w:t>
      </w:r>
      <w:r w:rsidR="00297081">
        <w:rPr>
          <w:rFonts w:cs="Arial"/>
          <w:sz w:val="20"/>
          <w:szCs w:val="20"/>
        </w:rPr>
        <w:t>investment</w:t>
      </w:r>
      <w:r>
        <w:rPr>
          <w:rFonts w:cs="Arial"/>
          <w:sz w:val="20"/>
          <w:szCs w:val="20"/>
        </w:rPr>
        <w:t xml:space="preserve">.  </w:t>
      </w:r>
      <w:r w:rsidR="00297081">
        <w:rPr>
          <w:rFonts w:cs="Arial"/>
          <w:sz w:val="20"/>
          <w:szCs w:val="20"/>
        </w:rPr>
        <w:t>The 10-year Net Present Value of this project is an impressive $6,</w:t>
      </w:r>
      <w:r w:rsidR="009C3EA5">
        <w:rPr>
          <w:rFonts w:cs="Arial"/>
          <w:sz w:val="20"/>
          <w:szCs w:val="20"/>
        </w:rPr>
        <w:t>421</w:t>
      </w:r>
      <w:r w:rsidR="00297081">
        <w:rPr>
          <w:rFonts w:cs="Arial"/>
          <w:sz w:val="20"/>
          <w:szCs w:val="20"/>
        </w:rPr>
        <w:t>k with an Internal Rate of Return of 2</w:t>
      </w:r>
      <w:r w:rsidR="009C3EA5">
        <w:rPr>
          <w:rFonts w:cs="Arial"/>
          <w:sz w:val="20"/>
          <w:szCs w:val="20"/>
        </w:rPr>
        <w:t>6</w:t>
      </w:r>
      <w:r w:rsidR="00297081">
        <w:rPr>
          <w:rFonts w:cs="Arial"/>
          <w:sz w:val="20"/>
          <w:szCs w:val="20"/>
        </w:rPr>
        <w:t>.</w:t>
      </w:r>
      <w:r w:rsidR="009C3EA5">
        <w:rPr>
          <w:rFonts w:cs="Arial"/>
          <w:sz w:val="20"/>
          <w:szCs w:val="20"/>
        </w:rPr>
        <w:t>4</w:t>
      </w:r>
      <w:r w:rsidR="00297081">
        <w:rPr>
          <w:rFonts w:cs="Arial"/>
          <w:sz w:val="20"/>
          <w:szCs w:val="20"/>
        </w:rPr>
        <w:t>3%.  For investment decisions like this, we have determined that a hurdle rate of 10% is appropriate.  This investment will greatly exceed this benchmark providing added value to our shareholders.</w:t>
      </w:r>
    </w:p>
    <w:p w14:paraId="0856EDFD" w14:textId="49CEBF04" w:rsidR="00160B5E" w:rsidRDefault="00134ECB" w:rsidP="00773183">
      <w:pPr>
        <w:ind w:left="-720" w:right="-7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Additionally, should systemic conditions worsen within the 10-year window of the machine’s useful life, I am confident that we can sell it on the open market for at least 50% of its book value.  This added measure makes the NPV for the project positive after just 2.</w:t>
      </w:r>
      <w:r w:rsidR="009C3EA5">
        <w:rPr>
          <w:rFonts w:cs="Arial"/>
          <w:sz w:val="20"/>
          <w:szCs w:val="20"/>
        </w:rPr>
        <w:t>4</w:t>
      </w:r>
      <w:r>
        <w:rPr>
          <w:rFonts w:cs="Arial"/>
          <w:sz w:val="20"/>
          <w:szCs w:val="20"/>
        </w:rPr>
        <w:t xml:space="preserve">2-years.  </w:t>
      </w:r>
    </w:p>
    <w:p w14:paraId="37A02AC2" w14:textId="61AA0D9D" w:rsidR="00720F18" w:rsidRDefault="00720F18" w:rsidP="00773183">
      <w:pPr>
        <w:ind w:left="-720" w:right="-7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 do not recommend that we pay a dividend in lieu of the </w:t>
      </w:r>
      <w:proofErr w:type="spellStart"/>
      <w:r>
        <w:rPr>
          <w:rFonts w:cs="Arial"/>
          <w:sz w:val="20"/>
          <w:szCs w:val="20"/>
        </w:rPr>
        <w:t>Zinser</w:t>
      </w:r>
      <w:proofErr w:type="spellEnd"/>
      <w:r>
        <w:rPr>
          <w:rFonts w:cs="Arial"/>
          <w:sz w:val="20"/>
          <w:szCs w:val="20"/>
        </w:rPr>
        <w:t xml:space="preserve"> investment.  I think it would send the wrong message to our shareholders to institute a dividend policy that</w:t>
      </w:r>
      <w:r w:rsidR="00134585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during this </w:t>
      </w:r>
      <w:r w:rsidR="00CC127F">
        <w:rPr>
          <w:rFonts w:cs="Arial"/>
          <w:sz w:val="20"/>
          <w:szCs w:val="20"/>
        </w:rPr>
        <w:t>uncertain time</w:t>
      </w:r>
      <w:r w:rsidR="00134585">
        <w:rPr>
          <w:rFonts w:cs="Arial"/>
          <w:sz w:val="20"/>
          <w:szCs w:val="20"/>
        </w:rPr>
        <w:t>,</w:t>
      </w:r>
      <w:r w:rsidR="00CC127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we are not sure we can sustain.  Instead, I recommend we pursue the operational investments to improve company profitability and help us compete in the product segments we have determined will be successful for us in the long run.</w:t>
      </w:r>
    </w:p>
    <w:p w14:paraId="0CD4BC54" w14:textId="6518C8A3" w:rsidR="00160B5E" w:rsidRDefault="00104023" w:rsidP="00773183">
      <w:pPr>
        <w:ind w:left="-720" w:right="-7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During my analysis for the </w:t>
      </w:r>
      <w:proofErr w:type="spellStart"/>
      <w:r>
        <w:rPr>
          <w:rFonts w:cs="Arial"/>
          <w:sz w:val="20"/>
          <w:szCs w:val="20"/>
        </w:rPr>
        <w:t>Zinser</w:t>
      </w:r>
      <w:proofErr w:type="spellEnd"/>
      <w:r>
        <w:rPr>
          <w:rFonts w:cs="Arial"/>
          <w:sz w:val="20"/>
          <w:szCs w:val="20"/>
        </w:rPr>
        <w:t xml:space="preserve"> investment, I </w:t>
      </w:r>
      <w:r w:rsidR="00AD5B7B">
        <w:rPr>
          <w:rFonts w:cs="Arial"/>
          <w:sz w:val="20"/>
          <w:szCs w:val="20"/>
        </w:rPr>
        <w:t>found</w:t>
      </w:r>
      <w:r>
        <w:rPr>
          <w:rFonts w:cs="Arial"/>
          <w:sz w:val="20"/>
          <w:szCs w:val="20"/>
        </w:rPr>
        <w:t xml:space="preserve"> a few areas that I recommend we focus on</w:t>
      </w:r>
      <w:r w:rsidR="00134585">
        <w:rPr>
          <w:rFonts w:cs="Arial"/>
          <w:sz w:val="20"/>
          <w:szCs w:val="20"/>
        </w:rPr>
        <w:t>,</w:t>
      </w:r>
      <w:r w:rsidR="00AD5B7B">
        <w:rPr>
          <w:rFonts w:cs="Arial"/>
          <w:sz w:val="20"/>
          <w:szCs w:val="20"/>
        </w:rPr>
        <w:t xml:space="preserve"> </w:t>
      </w:r>
      <w:r w:rsidR="00134585">
        <w:rPr>
          <w:rFonts w:cs="Arial"/>
          <w:sz w:val="20"/>
          <w:szCs w:val="20"/>
        </w:rPr>
        <w:t>in</w:t>
      </w:r>
      <w:r w:rsidR="00AD5B7B">
        <w:rPr>
          <w:rFonts w:cs="Arial"/>
          <w:sz w:val="20"/>
          <w:szCs w:val="20"/>
        </w:rPr>
        <w:t xml:space="preserve"> addition to making the </w:t>
      </w:r>
      <w:proofErr w:type="spellStart"/>
      <w:r w:rsidR="00AD5B7B">
        <w:rPr>
          <w:rFonts w:cs="Arial"/>
          <w:sz w:val="20"/>
          <w:szCs w:val="20"/>
        </w:rPr>
        <w:t>Zinser</w:t>
      </w:r>
      <w:proofErr w:type="spellEnd"/>
      <w:r w:rsidR="00AD5B7B">
        <w:rPr>
          <w:rFonts w:cs="Arial"/>
          <w:sz w:val="20"/>
          <w:szCs w:val="20"/>
        </w:rPr>
        <w:t xml:space="preserve"> investment</w:t>
      </w:r>
      <w:r w:rsidR="00134585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that I think will improve corporate profitability.  These key areas are:</w:t>
      </w:r>
    </w:p>
    <w:p w14:paraId="56A03B0A" w14:textId="1B05D9EF" w:rsidR="00104023" w:rsidRDefault="00104023" w:rsidP="007B1F65">
      <w:pPr>
        <w:pStyle w:val="ListParagraph"/>
        <w:numPr>
          <w:ilvl w:val="0"/>
          <w:numId w:val="3"/>
        </w:numPr>
        <w:spacing w:after="0" w:line="240" w:lineRule="auto"/>
        <w:ind w:left="-720" w:right="-720" w:firstLine="0"/>
        <w:jc w:val="both"/>
        <w:rPr>
          <w:rFonts w:cs="Arial"/>
          <w:sz w:val="20"/>
          <w:szCs w:val="20"/>
        </w:rPr>
      </w:pPr>
      <w:r w:rsidRPr="00104023">
        <w:rPr>
          <w:rFonts w:cs="Arial"/>
          <w:b/>
          <w:bCs/>
          <w:sz w:val="20"/>
          <w:szCs w:val="20"/>
        </w:rPr>
        <w:t>Improve Days Sales Outstanding</w:t>
      </w:r>
      <w:r w:rsidR="005F2760">
        <w:rPr>
          <w:rFonts w:cs="Arial"/>
          <w:b/>
          <w:bCs/>
          <w:sz w:val="20"/>
          <w:szCs w:val="20"/>
        </w:rPr>
        <w:t xml:space="preserve"> </w:t>
      </w:r>
      <w:r>
        <w:rPr>
          <w:rFonts w:cs="Arial"/>
          <w:b/>
          <w:bCs/>
          <w:sz w:val="20"/>
          <w:szCs w:val="20"/>
        </w:rPr>
        <w:t>–</w:t>
      </w:r>
      <w:r w:rsidR="009657D6" w:rsidRPr="009657D6">
        <w:rPr>
          <w:rFonts w:cs="Arial"/>
          <w:sz w:val="20"/>
          <w:szCs w:val="20"/>
        </w:rPr>
        <w:t>H</w:t>
      </w:r>
      <w:r>
        <w:rPr>
          <w:rFonts w:cs="Arial"/>
          <w:sz w:val="20"/>
          <w:szCs w:val="20"/>
        </w:rPr>
        <w:t>as risen from 23 days to 57 days</w:t>
      </w:r>
      <w:r w:rsidR="00B1482A">
        <w:rPr>
          <w:rFonts w:cs="Arial"/>
          <w:sz w:val="20"/>
          <w:szCs w:val="20"/>
        </w:rPr>
        <w:t>.  This needs to come down.</w:t>
      </w:r>
    </w:p>
    <w:p w14:paraId="02ECC7A4" w14:textId="1E8C14FD" w:rsidR="00104023" w:rsidRDefault="005F2760" w:rsidP="007B1F65">
      <w:pPr>
        <w:pStyle w:val="ListParagraph"/>
        <w:numPr>
          <w:ilvl w:val="0"/>
          <w:numId w:val="3"/>
        </w:numPr>
        <w:spacing w:after="0" w:line="240" w:lineRule="auto"/>
        <w:ind w:left="-720" w:right="-720" w:firstLine="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Increase</w:t>
      </w:r>
      <w:r w:rsidR="00104023" w:rsidRPr="005F2760">
        <w:rPr>
          <w:rFonts w:cs="Arial"/>
          <w:b/>
          <w:bCs/>
          <w:sz w:val="20"/>
          <w:szCs w:val="20"/>
        </w:rPr>
        <w:t xml:space="preserve"> Inventory Turnover</w:t>
      </w:r>
      <w:r w:rsidR="00104023">
        <w:rPr>
          <w:rFonts w:cs="Arial"/>
          <w:sz w:val="20"/>
          <w:szCs w:val="20"/>
        </w:rPr>
        <w:t xml:space="preserve"> –</w:t>
      </w:r>
      <w:r w:rsidR="009657D6">
        <w:rPr>
          <w:rFonts w:cs="Arial"/>
          <w:sz w:val="20"/>
          <w:szCs w:val="20"/>
        </w:rPr>
        <w:t>H</w:t>
      </w:r>
      <w:r>
        <w:rPr>
          <w:rFonts w:cs="Arial"/>
          <w:sz w:val="20"/>
          <w:szCs w:val="20"/>
        </w:rPr>
        <w:t>as fallen from 7 to 4</w:t>
      </w:r>
      <w:r w:rsidR="00B1482A">
        <w:rPr>
          <w:rFonts w:cs="Arial"/>
          <w:sz w:val="20"/>
          <w:szCs w:val="20"/>
        </w:rPr>
        <w:t xml:space="preserve">.  Inventory levels should </w:t>
      </w:r>
      <w:r w:rsidR="009657D6">
        <w:rPr>
          <w:rFonts w:cs="Arial"/>
          <w:sz w:val="20"/>
          <w:szCs w:val="20"/>
        </w:rPr>
        <w:t xml:space="preserve">come down to </w:t>
      </w:r>
      <w:r w:rsidR="00B1482A">
        <w:rPr>
          <w:rFonts w:cs="Arial"/>
          <w:sz w:val="20"/>
          <w:szCs w:val="20"/>
        </w:rPr>
        <w:t>match revenues.</w:t>
      </w:r>
    </w:p>
    <w:p w14:paraId="183DEE51" w14:textId="0EE22530" w:rsidR="005F2760" w:rsidRDefault="005F2760" w:rsidP="007B1F65">
      <w:pPr>
        <w:pStyle w:val="ListParagraph"/>
        <w:numPr>
          <w:ilvl w:val="0"/>
          <w:numId w:val="3"/>
        </w:numPr>
        <w:spacing w:after="0" w:line="240" w:lineRule="auto"/>
        <w:ind w:left="-720" w:right="-720" w:firstLine="0"/>
        <w:jc w:val="both"/>
        <w:rPr>
          <w:rFonts w:cs="Arial"/>
          <w:sz w:val="20"/>
          <w:szCs w:val="20"/>
        </w:rPr>
      </w:pPr>
      <w:r w:rsidRPr="005F2760">
        <w:rPr>
          <w:rFonts w:cs="Arial"/>
          <w:b/>
          <w:bCs/>
          <w:sz w:val="20"/>
          <w:szCs w:val="20"/>
        </w:rPr>
        <w:t>Extend Days Payables Outstanding</w:t>
      </w:r>
      <w:r>
        <w:rPr>
          <w:rFonts w:cs="Arial"/>
          <w:sz w:val="20"/>
          <w:szCs w:val="20"/>
        </w:rPr>
        <w:t xml:space="preserve"> –</w:t>
      </w:r>
      <w:r w:rsidR="009657D6">
        <w:rPr>
          <w:rFonts w:cs="Arial"/>
          <w:sz w:val="20"/>
          <w:szCs w:val="20"/>
        </w:rPr>
        <w:t>H</w:t>
      </w:r>
      <w:r>
        <w:rPr>
          <w:rFonts w:cs="Arial"/>
          <w:sz w:val="20"/>
          <w:szCs w:val="20"/>
        </w:rPr>
        <w:t>as risen from 18 days to 29 days.</w:t>
      </w:r>
      <w:r w:rsidR="00B1482A">
        <w:rPr>
          <w:rFonts w:cs="Arial"/>
          <w:sz w:val="20"/>
          <w:szCs w:val="20"/>
        </w:rPr>
        <w:t xml:space="preserve">  Can we </w:t>
      </w:r>
      <w:r w:rsidR="006E3D53">
        <w:rPr>
          <w:rFonts w:cs="Arial"/>
          <w:sz w:val="20"/>
          <w:szCs w:val="20"/>
        </w:rPr>
        <w:t>extend this even further</w:t>
      </w:r>
      <w:r w:rsidR="00B1482A">
        <w:rPr>
          <w:rFonts w:cs="Arial"/>
          <w:sz w:val="20"/>
          <w:szCs w:val="20"/>
        </w:rPr>
        <w:t>?</w:t>
      </w:r>
    </w:p>
    <w:p w14:paraId="64D5976D" w14:textId="212190F2" w:rsidR="00AD5B7B" w:rsidRDefault="00B1482A" w:rsidP="007B1F65">
      <w:pPr>
        <w:pStyle w:val="ListParagraph"/>
        <w:numPr>
          <w:ilvl w:val="0"/>
          <w:numId w:val="3"/>
        </w:numPr>
        <w:spacing w:after="0" w:line="240" w:lineRule="auto"/>
        <w:ind w:left="-720" w:right="-720" w:firstLine="0"/>
        <w:jc w:val="both"/>
        <w:rPr>
          <w:rFonts w:cs="Arial"/>
          <w:sz w:val="20"/>
          <w:szCs w:val="20"/>
        </w:rPr>
      </w:pPr>
      <w:r w:rsidRPr="009657D6">
        <w:rPr>
          <w:rFonts w:cs="Arial"/>
          <w:b/>
          <w:bCs/>
          <w:sz w:val="20"/>
          <w:szCs w:val="20"/>
        </w:rPr>
        <w:t>Reduce Accounts Receivables</w:t>
      </w:r>
      <w:r>
        <w:rPr>
          <w:rFonts w:cs="Arial"/>
          <w:sz w:val="20"/>
          <w:szCs w:val="20"/>
        </w:rPr>
        <w:t xml:space="preserve"> – Has risen as a % of TA from </w:t>
      </w:r>
      <w:r w:rsidR="009657D6">
        <w:rPr>
          <w:rFonts w:cs="Arial"/>
          <w:sz w:val="20"/>
          <w:szCs w:val="20"/>
        </w:rPr>
        <w:t>9.7 to 19.2.</w:t>
      </w:r>
      <w:r w:rsidR="00134585">
        <w:rPr>
          <w:rFonts w:cs="Arial"/>
          <w:sz w:val="20"/>
          <w:szCs w:val="20"/>
        </w:rPr>
        <w:t xml:space="preserve">  We </w:t>
      </w:r>
      <w:r w:rsidR="009C3EA5">
        <w:rPr>
          <w:rFonts w:cs="Arial"/>
          <w:sz w:val="20"/>
          <w:szCs w:val="20"/>
        </w:rPr>
        <w:t>should avoid</w:t>
      </w:r>
      <w:r w:rsidR="00134585">
        <w:rPr>
          <w:rFonts w:cs="Arial"/>
          <w:sz w:val="20"/>
          <w:szCs w:val="20"/>
        </w:rPr>
        <w:t xml:space="preserve"> extend</w:t>
      </w:r>
      <w:r w:rsidR="009C3EA5">
        <w:rPr>
          <w:rFonts w:cs="Arial"/>
          <w:sz w:val="20"/>
          <w:szCs w:val="20"/>
        </w:rPr>
        <w:t>ing</w:t>
      </w:r>
      <w:r w:rsidR="00134585">
        <w:rPr>
          <w:rFonts w:cs="Arial"/>
          <w:sz w:val="20"/>
          <w:szCs w:val="20"/>
        </w:rPr>
        <w:t xml:space="preserve"> credit too leniently.</w:t>
      </w:r>
    </w:p>
    <w:p w14:paraId="5AAFF638" w14:textId="12711AD7" w:rsidR="005F2760" w:rsidRPr="005F2760" w:rsidRDefault="005F2760" w:rsidP="007B1F65">
      <w:pPr>
        <w:spacing w:before="240"/>
        <w:ind w:left="-720" w:right="-7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 am grateful for the good working relationship we have had over the years.  Please reach out to me if you would like additional granularity on my </w:t>
      </w:r>
      <w:proofErr w:type="spellStart"/>
      <w:r>
        <w:rPr>
          <w:rFonts w:cs="Arial"/>
          <w:sz w:val="20"/>
          <w:szCs w:val="20"/>
        </w:rPr>
        <w:t>Zinser</w:t>
      </w:r>
      <w:proofErr w:type="spellEnd"/>
      <w:r>
        <w:rPr>
          <w:rFonts w:cs="Arial"/>
          <w:sz w:val="20"/>
          <w:szCs w:val="20"/>
        </w:rPr>
        <w:t xml:space="preserve"> investment analysis or any of my recommendations.</w:t>
      </w:r>
    </w:p>
    <w:p w14:paraId="1B81B223" w14:textId="772072A4" w:rsidR="00160B5E" w:rsidRPr="00297081" w:rsidRDefault="00297081" w:rsidP="00773183">
      <w:pPr>
        <w:spacing w:after="0"/>
        <w:ind w:left="-720" w:right="-720"/>
        <w:jc w:val="both"/>
        <w:rPr>
          <w:rFonts w:cs="Arial"/>
          <w:sz w:val="20"/>
          <w:szCs w:val="20"/>
        </w:rPr>
      </w:pPr>
      <w:r w:rsidRPr="00297081">
        <w:rPr>
          <w:rFonts w:cs="Arial"/>
          <w:sz w:val="20"/>
          <w:szCs w:val="20"/>
        </w:rPr>
        <w:t>Thank you,</w:t>
      </w:r>
    </w:p>
    <w:p w14:paraId="52710AD7" w14:textId="77777777" w:rsidR="00773183" w:rsidRDefault="00773183" w:rsidP="00773183">
      <w:pPr>
        <w:spacing w:after="0"/>
        <w:ind w:left="-720" w:right="-720"/>
        <w:jc w:val="both"/>
        <w:rPr>
          <w:rFonts w:ascii="Copperplate Gothic Bold" w:hAnsi="Copperplate Gothic Bold" w:cs="Arial"/>
          <w:sz w:val="20"/>
          <w:szCs w:val="20"/>
        </w:rPr>
      </w:pPr>
    </w:p>
    <w:p w14:paraId="103E7363" w14:textId="77777777" w:rsidR="007B1F65" w:rsidRDefault="00297081" w:rsidP="007B1F65">
      <w:pPr>
        <w:spacing w:after="0"/>
        <w:ind w:left="-720" w:right="-720"/>
        <w:jc w:val="both"/>
        <w:rPr>
          <w:rFonts w:ascii="Copperplate Gothic Bold" w:hAnsi="Copperplate Gothic Bold" w:cs="Arial"/>
          <w:sz w:val="24"/>
          <w:szCs w:val="24"/>
        </w:rPr>
      </w:pPr>
      <w:r w:rsidRPr="007B1F65">
        <w:rPr>
          <w:rFonts w:ascii="Copperplate Gothic Bold" w:hAnsi="Copperplate Gothic Bold" w:cs="Arial"/>
        </w:rPr>
        <w:t>Tony Trotter</w:t>
      </w:r>
      <w:r w:rsidR="007B1F65">
        <w:rPr>
          <w:rFonts w:ascii="Copperplate Gothic Bold" w:hAnsi="Copperplate Gothic Bold" w:cs="Arial"/>
          <w:sz w:val="24"/>
          <w:szCs w:val="24"/>
        </w:rPr>
        <w:t xml:space="preserve"> </w:t>
      </w:r>
    </w:p>
    <w:p w14:paraId="33798173" w14:textId="6BA7679A" w:rsidR="00297081" w:rsidRPr="00297081" w:rsidRDefault="00297081" w:rsidP="007B1F65">
      <w:pPr>
        <w:spacing w:after="0"/>
        <w:ind w:left="-720" w:right="-720"/>
        <w:jc w:val="both"/>
        <w:rPr>
          <w:rFonts w:cs="Arial"/>
          <w:sz w:val="20"/>
          <w:szCs w:val="20"/>
        </w:rPr>
      </w:pPr>
      <w:r w:rsidRPr="00297081">
        <w:rPr>
          <w:rFonts w:cs="Arial"/>
          <w:sz w:val="20"/>
          <w:szCs w:val="20"/>
        </w:rPr>
        <w:t>CFO – Aurora Textile</w:t>
      </w:r>
    </w:p>
    <w:p w14:paraId="3329095D" w14:textId="52684773" w:rsidR="00160B5E" w:rsidRPr="00D70B8C" w:rsidRDefault="00BF7EA9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  <w:r w:rsidRPr="00D70B8C">
        <w:rPr>
          <w:rFonts w:ascii="Arial" w:hAnsi="Arial" w:cs="Arial"/>
          <w:b/>
          <w:bCs/>
        </w:rPr>
        <w:lastRenderedPageBreak/>
        <w:t>E</w:t>
      </w:r>
      <w:r w:rsidR="00160B5E" w:rsidRPr="00D70B8C">
        <w:rPr>
          <w:rFonts w:ascii="Arial" w:hAnsi="Arial" w:cs="Arial"/>
          <w:b/>
          <w:bCs/>
        </w:rPr>
        <w:t>xhibit 1</w:t>
      </w:r>
    </w:p>
    <w:tbl>
      <w:tblPr>
        <w:tblW w:w="6220" w:type="dxa"/>
        <w:jc w:val="center"/>
        <w:tblLook w:val="04A0" w:firstRow="1" w:lastRow="0" w:firstColumn="1" w:lastColumn="0" w:noHBand="0" w:noVBand="1"/>
      </w:tblPr>
      <w:tblGrid>
        <w:gridCol w:w="2183"/>
        <w:gridCol w:w="266"/>
        <w:gridCol w:w="1163"/>
        <w:gridCol w:w="1365"/>
        <w:gridCol w:w="1365"/>
      </w:tblGrid>
      <w:tr w:rsidR="004C4581" w:rsidRPr="004C4581" w14:paraId="2F1191E9" w14:textId="77777777" w:rsidTr="004C4581">
        <w:trPr>
          <w:trHeight w:val="300"/>
          <w:jc w:val="center"/>
        </w:trPr>
        <w:tc>
          <w:tcPr>
            <w:tcW w:w="6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4473F1D7" w14:textId="77777777" w:rsidR="004C4581" w:rsidRPr="004C4581" w:rsidRDefault="004C4581" w:rsidP="004C4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4581">
              <w:rPr>
                <w:rFonts w:ascii="Calibri" w:eastAsia="Times New Roman" w:hAnsi="Calibri" w:cs="Calibri"/>
                <w:b/>
                <w:bCs/>
                <w:color w:val="000000"/>
              </w:rPr>
              <w:t>Expense Management</w:t>
            </w:r>
          </w:p>
        </w:tc>
      </w:tr>
      <w:tr w:rsidR="004C4581" w:rsidRPr="004C4581" w14:paraId="594F9300" w14:textId="77777777" w:rsidTr="004C4581">
        <w:trPr>
          <w:trHeight w:val="300"/>
          <w:jc w:val="center"/>
        </w:trPr>
        <w:tc>
          <w:tcPr>
            <w:tcW w:w="2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175217" w14:textId="77777777" w:rsidR="004C4581" w:rsidRPr="004C4581" w:rsidRDefault="004C4581" w:rsidP="004C4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5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B509E8" w14:textId="77777777" w:rsidR="004C4581" w:rsidRPr="004C4581" w:rsidRDefault="004C4581" w:rsidP="004C4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5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49E30C" w14:textId="77777777" w:rsidR="004C4581" w:rsidRPr="004C4581" w:rsidRDefault="004C4581" w:rsidP="004C4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4C4581">
              <w:rPr>
                <w:rFonts w:ascii="Calibri" w:eastAsia="Times New Roman" w:hAnsi="Calibri" w:cs="Calibri"/>
                <w:color w:val="000000"/>
                <w:u w:val="single"/>
              </w:rPr>
              <w:t>2000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980E11" w14:textId="77777777" w:rsidR="004C4581" w:rsidRPr="004C4581" w:rsidRDefault="004C4581" w:rsidP="004C4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4C4581">
              <w:rPr>
                <w:rFonts w:ascii="Calibri" w:eastAsia="Times New Roman" w:hAnsi="Calibri" w:cs="Calibri"/>
                <w:color w:val="000000"/>
                <w:u w:val="single"/>
              </w:rPr>
              <w:t>2001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605953" w14:textId="77777777" w:rsidR="004C4581" w:rsidRPr="004C4581" w:rsidRDefault="004C4581" w:rsidP="004C4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4C4581">
              <w:rPr>
                <w:rFonts w:ascii="Calibri" w:eastAsia="Times New Roman" w:hAnsi="Calibri" w:cs="Calibri"/>
                <w:color w:val="000000"/>
                <w:u w:val="single"/>
              </w:rPr>
              <w:t>2002</w:t>
            </w:r>
          </w:p>
        </w:tc>
      </w:tr>
      <w:tr w:rsidR="004C4581" w:rsidRPr="004C4581" w14:paraId="2AC5D657" w14:textId="77777777" w:rsidTr="004C4581">
        <w:trPr>
          <w:trHeight w:val="300"/>
          <w:jc w:val="center"/>
        </w:trPr>
        <w:tc>
          <w:tcPr>
            <w:tcW w:w="2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C75CA3" w14:textId="77777777" w:rsidR="004C4581" w:rsidRPr="004C4581" w:rsidRDefault="004C4581" w:rsidP="004C4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581">
              <w:rPr>
                <w:rFonts w:ascii="Calibri" w:eastAsia="Times New Roman" w:hAnsi="Calibri" w:cs="Calibri"/>
                <w:color w:val="000000"/>
              </w:rPr>
              <w:t>Sales Growth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39B9CC" w14:textId="77777777" w:rsidR="004C4581" w:rsidRPr="004C4581" w:rsidRDefault="004C4581" w:rsidP="004C4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5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99A61F" w14:textId="77777777" w:rsidR="004C4581" w:rsidRPr="004C4581" w:rsidRDefault="004C4581" w:rsidP="004C4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581">
              <w:rPr>
                <w:rFonts w:ascii="Calibri" w:eastAsia="Times New Roman" w:hAnsi="Calibri" w:cs="Calibri"/>
                <w:color w:val="000000"/>
              </w:rPr>
              <w:t>-6.56%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86B307" w14:textId="77777777" w:rsidR="004C4581" w:rsidRPr="004C4581" w:rsidRDefault="004C4581" w:rsidP="004C4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581">
              <w:rPr>
                <w:rFonts w:ascii="Calibri" w:eastAsia="Times New Roman" w:hAnsi="Calibri" w:cs="Calibri"/>
                <w:color w:val="000000"/>
              </w:rPr>
              <w:t>-20.38%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8EDD1F" w14:textId="77777777" w:rsidR="004C4581" w:rsidRPr="004C4581" w:rsidRDefault="004C4581" w:rsidP="004C4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581">
              <w:rPr>
                <w:rFonts w:ascii="Calibri" w:eastAsia="Times New Roman" w:hAnsi="Calibri" w:cs="Calibri"/>
                <w:color w:val="000000"/>
              </w:rPr>
              <w:t>-19.38%</w:t>
            </w:r>
          </w:p>
        </w:tc>
      </w:tr>
      <w:tr w:rsidR="004C4581" w:rsidRPr="004C4581" w14:paraId="51124C90" w14:textId="77777777" w:rsidTr="004C4581">
        <w:trPr>
          <w:trHeight w:val="300"/>
          <w:jc w:val="center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2BC868D" w14:textId="77777777" w:rsidR="004C4581" w:rsidRPr="004C4581" w:rsidRDefault="004C4581" w:rsidP="004C4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581">
              <w:rPr>
                <w:rFonts w:ascii="Calibri" w:eastAsia="Times New Roman" w:hAnsi="Calibri" w:cs="Calibri"/>
                <w:color w:val="000000"/>
              </w:rPr>
              <w:t>SG&amp;A</w:t>
            </w:r>
          </w:p>
        </w:tc>
        <w:tc>
          <w:tcPr>
            <w:tcW w:w="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15827284" w14:textId="77777777" w:rsidR="004C4581" w:rsidRPr="004C4581" w:rsidRDefault="004C4581" w:rsidP="004C4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5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486FFAA3" w14:textId="77777777" w:rsidR="004C4581" w:rsidRPr="004C4581" w:rsidRDefault="004C4581" w:rsidP="004C4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581">
              <w:rPr>
                <w:rFonts w:ascii="Calibri" w:eastAsia="Times New Roman" w:hAnsi="Calibri" w:cs="Calibri"/>
                <w:color w:val="000000"/>
              </w:rPr>
              <w:t>6.19%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AEF110A" w14:textId="77777777" w:rsidR="004C4581" w:rsidRPr="004C4581" w:rsidRDefault="004C4581" w:rsidP="004C4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581">
              <w:rPr>
                <w:rFonts w:ascii="Calibri" w:eastAsia="Times New Roman" w:hAnsi="Calibri" w:cs="Calibri"/>
                <w:color w:val="000000"/>
              </w:rPr>
              <w:t>6.36%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6D6D99" w14:textId="77777777" w:rsidR="004C4581" w:rsidRPr="004C4581" w:rsidRDefault="004C4581" w:rsidP="004C4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581">
              <w:rPr>
                <w:rFonts w:ascii="Calibri" w:eastAsia="Times New Roman" w:hAnsi="Calibri" w:cs="Calibri"/>
                <w:color w:val="000000"/>
              </w:rPr>
              <w:t>6.99%</w:t>
            </w:r>
          </w:p>
        </w:tc>
      </w:tr>
    </w:tbl>
    <w:p w14:paraId="29A0C060" w14:textId="77777777" w:rsidR="00160B5E" w:rsidRDefault="00160B5E" w:rsidP="00773183">
      <w:pPr>
        <w:tabs>
          <w:tab w:val="left" w:pos="8070"/>
        </w:tabs>
        <w:ind w:left="-720" w:right="-720"/>
        <w:jc w:val="center"/>
        <w:rPr>
          <w:rFonts w:ascii="Arial" w:hAnsi="Arial" w:cs="Arial"/>
        </w:rPr>
      </w:pPr>
    </w:p>
    <w:p w14:paraId="5ED1A730" w14:textId="79E99A3A" w:rsidR="00320E14" w:rsidRDefault="00320E14" w:rsidP="00773183">
      <w:pPr>
        <w:tabs>
          <w:tab w:val="left" w:pos="8070"/>
        </w:tabs>
        <w:ind w:left="-720" w:right="-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CEA5D3" wp14:editId="146EE5C7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5E9507D-4C00-4E7C-A757-6AC84F6C83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E95374" w14:textId="77777777" w:rsidR="002B28CF" w:rsidRDefault="002B28CF" w:rsidP="00773183">
      <w:pPr>
        <w:tabs>
          <w:tab w:val="left" w:pos="8070"/>
        </w:tabs>
        <w:spacing w:after="0"/>
        <w:ind w:left="-720" w:right="-720"/>
        <w:rPr>
          <w:rFonts w:ascii="Arial" w:hAnsi="Arial" w:cs="Arial"/>
        </w:rPr>
      </w:pPr>
    </w:p>
    <w:p w14:paraId="54328365" w14:textId="700C8222" w:rsidR="00160B5E" w:rsidRPr="00D70B8C" w:rsidRDefault="00160B5E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  <w:r w:rsidRPr="00D70B8C">
        <w:rPr>
          <w:rFonts w:ascii="Arial" w:hAnsi="Arial" w:cs="Arial"/>
          <w:b/>
          <w:bCs/>
        </w:rPr>
        <w:t>Exhibit 2</w:t>
      </w:r>
    </w:p>
    <w:tbl>
      <w:tblPr>
        <w:tblW w:w="6220" w:type="dxa"/>
        <w:jc w:val="center"/>
        <w:tblLook w:val="04A0" w:firstRow="1" w:lastRow="0" w:firstColumn="1" w:lastColumn="0" w:noHBand="0" w:noVBand="1"/>
      </w:tblPr>
      <w:tblGrid>
        <w:gridCol w:w="3181"/>
        <w:gridCol w:w="266"/>
        <w:gridCol w:w="1073"/>
        <w:gridCol w:w="1263"/>
        <w:gridCol w:w="663"/>
      </w:tblGrid>
      <w:tr w:rsidR="003A7C7A" w:rsidRPr="003A7C7A" w14:paraId="2990A133" w14:textId="77777777" w:rsidTr="003A7C7A">
        <w:trPr>
          <w:trHeight w:val="300"/>
          <w:jc w:val="center"/>
        </w:trPr>
        <w:tc>
          <w:tcPr>
            <w:tcW w:w="6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183AF9DF" w14:textId="77777777" w:rsidR="003A7C7A" w:rsidRPr="003A7C7A" w:rsidRDefault="003A7C7A" w:rsidP="003A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C7A">
              <w:rPr>
                <w:rFonts w:ascii="Calibri" w:eastAsia="Times New Roman" w:hAnsi="Calibri" w:cs="Calibri"/>
                <w:b/>
                <w:bCs/>
                <w:color w:val="000000"/>
              </w:rPr>
              <w:t>Cash Conversion Cycle</w:t>
            </w:r>
          </w:p>
        </w:tc>
      </w:tr>
      <w:tr w:rsidR="003A7C7A" w:rsidRPr="003A7C7A" w14:paraId="6A8D5BB7" w14:textId="77777777" w:rsidTr="003A7C7A">
        <w:trPr>
          <w:trHeight w:val="300"/>
          <w:jc w:val="center"/>
        </w:trPr>
        <w:tc>
          <w:tcPr>
            <w:tcW w:w="3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84FC6B" w14:textId="77777777" w:rsidR="003A7C7A" w:rsidRPr="003A7C7A" w:rsidRDefault="003A7C7A" w:rsidP="003A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D45503" w14:textId="77777777" w:rsidR="003A7C7A" w:rsidRPr="003A7C7A" w:rsidRDefault="003A7C7A" w:rsidP="003A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CE1A25" w14:textId="77777777" w:rsidR="003A7C7A" w:rsidRPr="003A7C7A" w:rsidRDefault="003A7C7A" w:rsidP="003A7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3A7C7A">
              <w:rPr>
                <w:rFonts w:ascii="Calibri" w:eastAsia="Times New Roman" w:hAnsi="Calibri" w:cs="Calibri"/>
                <w:color w:val="000000"/>
                <w:u w:val="single"/>
              </w:rPr>
              <w:t>2000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CDF746" w14:textId="77777777" w:rsidR="003A7C7A" w:rsidRPr="003A7C7A" w:rsidRDefault="003A7C7A" w:rsidP="003A7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3A7C7A">
              <w:rPr>
                <w:rFonts w:ascii="Calibri" w:eastAsia="Times New Roman" w:hAnsi="Calibri" w:cs="Calibri"/>
                <w:color w:val="000000"/>
                <w:u w:val="single"/>
              </w:rPr>
              <w:t>2001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941F9B" w14:textId="77777777" w:rsidR="003A7C7A" w:rsidRPr="003A7C7A" w:rsidRDefault="003A7C7A" w:rsidP="003A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3A7C7A">
              <w:rPr>
                <w:rFonts w:ascii="Calibri" w:eastAsia="Times New Roman" w:hAnsi="Calibri" w:cs="Calibri"/>
                <w:color w:val="000000"/>
                <w:u w:val="single"/>
              </w:rPr>
              <w:t>2002</w:t>
            </w:r>
          </w:p>
        </w:tc>
      </w:tr>
      <w:tr w:rsidR="003A7C7A" w:rsidRPr="003A7C7A" w14:paraId="4D1F3461" w14:textId="77777777" w:rsidTr="003A7C7A">
        <w:trPr>
          <w:trHeight w:val="300"/>
          <w:jc w:val="center"/>
        </w:trPr>
        <w:tc>
          <w:tcPr>
            <w:tcW w:w="3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047696" w14:textId="77777777" w:rsidR="003A7C7A" w:rsidRPr="003A7C7A" w:rsidRDefault="003A7C7A" w:rsidP="003A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>Days Sales Outstanding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46430A" w14:textId="77777777" w:rsidR="003A7C7A" w:rsidRPr="003A7C7A" w:rsidRDefault="003A7C7A" w:rsidP="003A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86BBB6" w14:textId="77777777" w:rsidR="003A7C7A" w:rsidRPr="003A7C7A" w:rsidRDefault="003A7C7A" w:rsidP="003A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 xml:space="preserve">            23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DC103C" w14:textId="77777777" w:rsidR="003A7C7A" w:rsidRPr="003A7C7A" w:rsidRDefault="003A7C7A" w:rsidP="003A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 xml:space="preserve">               32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677C79" w14:textId="77777777" w:rsidR="003A7C7A" w:rsidRPr="003A7C7A" w:rsidRDefault="003A7C7A" w:rsidP="003A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3A7C7A" w:rsidRPr="003A7C7A" w14:paraId="2933ACE3" w14:textId="77777777" w:rsidTr="003A7C7A">
        <w:trPr>
          <w:trHeight w:val="300"/>
          <w:jc w:val="center"/>
        </w:trPr>
        <w:tc>
          <w:tcPr>
            <w:tcW w:w="3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12941FC" w14:textId="77777777" w:rsidR="003A7C7A" w:rsidRPr="003A7C7A" w:rsidRDefault="003A7C7A" w:rsidP="003A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>Days Inventory Outstanding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D524BB" w14:textId="77777777" w:rsidR="003A7C7A" w:rsidRPr="003A7C7A" w:rsidRDefault="003A7C7A" w:rsidP="003A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EEFF04" w14:textId="77777777" w:rsidR="003A7C7A" w:rsidRPr="003A7C7A" w:rsidRDefault="003A7C7A" w:rsidP="003A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 xml:space="preserve">            31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B9F135" w14:textId="77777777" w:rsidR="003A7C7A" w:rsidRPr="003A7C7A" w:rsidRDefault="003A7C7A" w:rsidP="003A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 xml:space="preserve">               34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672CEE" w14:textId="77777777" w:rsidR="003A7C7A" w:rsidRPr="003A7C7A" w:rsidRDefault="003A7C7A" w:rsidP="003A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3A7C7A" w:rsidRPr="003A7C7A" w14:paraId="2CD8FB43" w14:textId="77777777" w:rsidTr="003A7C7A">
        <w:trPr>
          <w:trHeight w:val="300"/>
          <w:jc w:val="center"/>
        </w:trPr>
        <w:tc>
          <w:tcPr>
            <w:tcW w:w="3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7C3A3C" w14:textId="77777777" w:rsidR="003A7C7A" w:rsidRPr="003A7C7A" w:rsidRDefault="003A7C7A" w:rsidP="003A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>Days Payables Outstanding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D2EB5C" w14:textId="77777777" w:rsidR="003A7C7A" w:rsidRPr="003A7C7A" w:rsidRDefault="003A7C7A" w:rsidP="003A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9C00EA" w14:textId="77777777" w:rsidR="003A7C7A" w:rsidRPr="003A7C7A" w:rsidRDefault="003A7C7A" w:rsidP="003A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 xml:space="preserve">            18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DBD857" w14:textId="77777777" w:rsidR="003A7C7A" w:rsidRPr="003A7C7A" w:rsidRDefault="003A7C7A" w:rsidP="003A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 xml:space="preserve">               19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075872" w14:textId="77777777" w:rsidR="003A7C7A" w:rsidRPr="003A7C7A" w:rsidRDefault="003A7C7A" w:rsidP="003A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3A7C7A" w:rsidRPr="003A7C7A" w14:paraId="1A07A30D" w14:textId="77777777" w:rsidTr="003A7C7A">
        <w:trPr>
          <w:trHeight w:val="300"/>
          <w:jc w:val="center"/>
        </w:trPr>
        <w:tc>
          <w:tcPr>
            <w:tcW w:w="31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1B2BF7C2" w14:textId="77777777" w:rsidR="003A7C7A" w:rsidRPr="003A7C7A" w:rsidRDefault="003A7C7A" w:rsidP="003A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>CCC = DIO + DSO - DPO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0CC8CB8" w14:textId="77777777" w:rsidR="003A7C7A" w:rsidRPr="003A7C7A" w:rsidRDefault="003A7C7A" w:rsidP="003A7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423F2E02" w14:textId="77777777" w:rsidR="003A7C7A" w:rsidRPr="003A7C7A" w:rsidRDefault="003A7C7A" w:rsidP="003A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 xml:space="preserve">            36 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CD4E14A" w14:textId="77777777" w:rsidR="003A7C7A" w:rsidRPr="003A7C7A" w:rsidRDefault="003A7C7A" w:rsidP="003A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 xml:space="preserve">               47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D39BAA" w14:textId="77777777" w:rsidR="003A7C7A" w:rsidRPr="003A7C7A" w:rsidRDefault="003A7C7A" w:rsidP="003A7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C7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</w:tbl>
    <w:p w14:paraId="0A5FA35E" w14:textId="03160EA8" w:rsidR="00160B5E" w:rsidRDefault="00160B5E" w:rsidP="00773183">
      <w:pPr>
        <w:tabs>
          <w:tab w:val="left" w:pos="8070"/>
        </w:tabs>
        <w:ind w:left="-720" w:right="-720"/>
        <w:jc w:val="center"/>
        <w:rPr>
          <w:rFonts w:ascii="Arial" w:hAnsi="Arial" w:cs="Arial"/>
        </w:rPr>
      </w:pPr>
    </w:p>
    <w:p w14:paraId="6EC5C271" w14:textId="4E21AF98" w:rsidR="00160B5E" w:rsidRDefault="00160B5E" w:rsidP="00773183">
      <w:pPr>
        <w:tabs>
          <w:tab w:val="left" w:pos="8070"/>
        </w:tabs>
        <w:ind w:left="-720" w:right="-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C5D924" wp14:editId="1FDD5989">
            <wp:extent cx="4183811" cy="2171700"/>
            <wp:effectExtent l="0" t="0" r="762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92E2E7-4D3B-422C-91C1-9FDF489B62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943533" w14:textId="08EF49F0" w:rsidR="00482F1D" w:rsidRDefault="00070CB2" w:rsidP="00773183">
      <w:pPr>
        <w:tabs>
          <w:tab w:val="left" w:pos="8070"/>
        </w:tabs>
        <w:spacing w:after="0" w:line="240" w:lineRule="auto"/>
        <w:ind w:left="-720" w:right="-720"/>
        <w:jc w:val="center"/>
        <w:rPr>
          <w:rFonts w:ascii="Arial" w:hAnsi="Arial" w:cs="Arial"/>
        </w:rPr>
      </w:pPr>
      <w:r w:rsidRPr="00D70B8C">
        <w:rPr>
          <w:rFonts w:ascii="Arial" w:hAnsi="Arial" w:cs="Arial"/>
          <w:b/>
          <w:bCs/>
        </w:rPr>
        <w:lastRenderedPageBreak/>
        <w:t xml:space="preserve">Exhibit </w:t>
      </w:r>
      <w:r w:rsidR="008D721D">
        <w:rPr>
          <w:rFonts w:ascii="Arial" w:hAnsi="Arial" w:cs="Arial"/>
          <w:b/>
          <w:bCs/>
        </w:rPr>
        <w:t>3</w:t>
      </w:r>
    </w:p>
    <w:p w14:paraId="05287926" w14:textId="4889A4E5" w:rsidR="00255947" w:rsidRDefault="00255947" w:rsidP="00773183">
      <w:pPr>
        <w:tabs>
          <w:tab w:val="left" w:pos="8070"/>
        </w:tabs>
        <w:ind w:left="-720" w:right="-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87C938" wp14:editId="2280CAA8">
            <wp:extent cx="4838700" cy="25146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FE9A056-7C4F-4C98-ABCC-98A8E5BC71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66346C" w14:textId="0DF5D03B" w:rsidR="00320E14" w:rsidRDefault="00320E14" w:rsidP="00773183">
      <w:pPr>
        <w:tabs>
          <w:tab w:val="left" w:pos="8070"/>
        </w:tabs>
        <w:ind w:left="-720" w:right="-720"/>
        <w:jc w:val="both"/>
        <w:rPr>
          <w:rFonts w:ascii="Arial" w:hAnsi="Arial" w:cs="Arial"/>
        </w:rPr>
      </w:pPr>
    </w:p>
    <w:p w14:paraId="2A42155E" w14:textId="59B87436" w:rsidR="00320E14" w:rsidRPr="00D70B8C" w:rsidRDefault="00320E14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  <w:r w:rsidRPr="00D70B8C">
        <w:rPr>
          <w:rFonts w:ascii="Arial" w:hAnsi="Arial" w:cs="Arial"/>
          <w:b/>
          <w:bCs/>
        </w:rPr>
        <w:t xml:space="preserve">Exhibit </w:t>
      </w:r>
      <w:r w:rsidR="008D721D">
        <w:rPr>
          <w:rFonts w:ascii="Arial" w:hAnsi="Arial" w:cs="Arial"/>
          <w:b/>
          <w:bCs/>
        </w:rPr>
        <w:t>4</w:t>
      </w:r>
    </w:p>
    <w:tbl>
      <w:tblPr>
        <w:tblW w:w="6220" w:type="dxa"/>
        <w:jc w:val="center"/>
        <w:tblLook w:val="04A0" w:firstRow="1" w:lastRow="0" w:firstColumn="1" w:lastColumn="0" w:noHBand="0" w:noVBand="1"/>
      </w:tblPr>
      <w:tblGrid>
        <w:gridCol w:w="3625"/>
        <w:gridCol w:w="266"/>
        <w:gridCol w:w="819"/>
        <w:gridCol w:w="819"/>
        <w:gridCol w:w="819"/>
      </w:tblGrid>
      <w:tr w:rsidR="001F5BF5" w:rsidRPr="001F5BF5" w14:paraId="3E1DB4C2" w14:textId="77777777" w:rsidTr="001F5BF5">
        <w:trPr>
          <w:trHeight w:val="315"/>
          <w:jc w:val="center"/>
        </w:trPr>
        <w:tc>
          <w:tcPr>
            <w:tcW w:w="6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46797F84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B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Asset Management </w:t>
            </w:r>
          </w:p>
        </w:tc>
      </w:tr>
      <w:tr w:rsidR="001F5BF5" w:rsidRPr="001F5BF5" w14:paraId="0ABE8F05" w14:textId="77777777" w:rsidTr="001F5BF5">
        <w:trPr>
          <w:trHeight w:val="300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AC4D19" w14:textId="77777777" w:rsidR="001F5BF5" w:rsidRPr="001F5BF5" w:rsidRDefault="001F5BF5" w:rsidP="001F5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166AA9" w14:textId="77777777" w:rsidR="001F5BF5" w:rsidRPr="001F5BF5" w:rsidRDefault="001F5BF5" w:rsidP="001F5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06A02C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F5BF5">
              <w:rPr>
                <w:rFonts w:ascii="Calibri" w:eastAsia="Times New Roman" w:hAnsi="Calibri" w:cs="Calibri"/>
                <w:color w:val="000000"/>
                <w:u w:val="single"/>
              </w:rPr>
              <w:t>2000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3B9C76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F5BF5">
              <w:rPr>
                <w:rFonts w:ascii="Calibri" w:eastAsia="Times New Roman" w:hAnsi="Calibri" w:cs="Calibri"/>
                <w:color w:val="000000"/>
                <w:u w:val="single"/>
              </w:rPr>
              <w:t>2001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EE4AF7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F5BF5">
              <w:rPr>
                <w:rFonts w:ascii="Calibri" w:eastAsia="Times New Roman" w:hAnsi="Calibri" w:cs="Calibri"/>
                <w:color w:val="000000"/>
                <w:u w:val="single"/>
              </w:rPr>
              <w:t>2002</w:t>
            </w:r>
          </w:p>
        </w:tc>
      </w:tr>
      <w:tr w:rsidR="001F5BF5" w:rsidRPr="001F5BF5" w14:paraId="27454685" w14:textId="77777777" w:rsidTr="001F5BF5">
        <w:trPr>
          <w:trHeight w:val="300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816984" w14:textId="77777777" w:rsidR="001F5BF5" w:rsidRPr="001F5BF5" w:rsidRDefault="001F5BF5" w:rsidP="001F5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Inventory Turnover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B9CE5A" w14:textId="77777777" w:rsidR="001F5BF5" w:rsidRPr="001F5BF5" w:rsidRDefault="001F5BF5" w:rsidP="001F5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2E2257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6.93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E86707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5.84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C56875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</w:tr>
      <w:tr w:rsidR="001F5BF5" w:rsidRPr="001F5BF5" w14:paraId="1DA02F49" w14:textId="77777777" w:rsidTr="001F5BF5">
        <w:trPr>
          <w:trHeight w:val="300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AF1304" w14:textId="77777777" w:rsidR="001F5BF5" w:rsidRPr="001F5BF5" w:rsidRDefault="001F5BF5" w:rsidP="001F5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Days Sales Outstanding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794ADC" w14:textId="77777777" w:rsidR="001F5BF5" w:rsidRPr="001F5BF5" w:rsidRDefault="001F5BF5" w:rsidP="001F5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399B90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119B49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7F244A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1F5BF5" w:rsidRPr="001F5BF5" w14:paraId="52D768F3" w14:textId="77777777" w:rsidTr="001F5BF5">
        <w:trPr>
          <w:trHeight w:val="300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42B580" w14:textId="77777777" w:rsidR="001F5BF5" w:rsidRPr="001F5BF5" w:rsidRDefault="001F5BF5" w:rsidP="001F5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 xml:space="preserve">Fixed Asset Turnover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39A8E6" w14:textId="77777777" w:rsidR="001F5BF5" w:rsidRPr="001F5BF5" w:rsidRDefault="001F5BF5" w:rsidP="001F5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113847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2.04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A8C287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2.07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3B7A81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2.04</w:t>
            </w:r>
          </w:p>
        </w:tc>
      </w:tr>
      <w:tr w:rsidR="001F5BF5" w:rsidRPr="001F5BF5" w14:paraId="2E8952C1" w14:textId="77777777" w:rsidTr="001F5BF5">
        <w:trPr>
          <w:trHeight w:val="300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E2140F" w14:textId="77777777" w:rsidR="001F5BF5" w:rsidRPr="001F5BF5" w:rsidRDefault="001F5BF5" w:rsidP="001F5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Total Assets Turnover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285EDC" w14:textId="77777777" w:rsidR="001F5BF5" w:rsidRPr="001F5BF5" w:rsidRDefault="001F5BF5" w:rsidP="001F5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CC0ED7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1.39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621DC2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1C522C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</w:tr>
      <w:tr w:rsidR="001F5BF5" w:rsidRPr="001F5BF5" w14:paraId="0F41FF1E" w14:textId="77777777" w:rsidTr="001F5BF5">
        <w:trPr>
          <w:trHeight w:val="300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53877C0" w14:textId="77777777" w:rsidR="001F5BF5" w:rsidRPr="001F5BF5" w:rsidRDefault="001F5BF5" w:rsidP="001F5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Current Ratio</w:t>
            </w:r>
          </w:p>
        </w:tc>
        <w:tc>
          <w:tcPr>
            <w:tcW w:w="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4256DF16" w14:textId="77777777" w:rsidR="001F5BF5" w:rsidRPr="001F5BF5" w:rsidRDefault="001F5BF5" w:rsidP="001F5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19B91CC5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2.88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D9179DF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2.92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FD44B8" w14:textId="77777777" w:rsidR="001F5BF5" w:rsidRPr="001F5BF5" w:rsidRDefault="001F5BF5" w:rsidP="001F5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BF5">
              <w:rPr>
                <w:rFonts w:ascii="Calibri" w:eastAsia="Times New Roman" w:hAnsi="Calibri" w:cs="Calibri"/>
                <w:color w:val="000000"/>
              </w:rPr>
              <w:t>3.16</w:t>
            </w:r>
          </w:p>
        </w:tc>
      </w:tr>
    </w:tbl>
    <w:p w14:paraId="58CA73AF" w14:textId="17447531" w:rsidR="00320E14" w:rsidRDefault="00320E14" w:rsidP="00773183">
      <w:pPr>
        <w:tabs>
          <w:tab w:val="left" w:pos="8070"/>
        </w:tabs>
        <w:ind w:left="-720" w:right="-720"/>
        <w:jc w:val="center"/>
        <w:rPr>
          <w:rFonts w:ascii="Arial" w:hAnsi="Arial" w:cs="Arial"/>
        </w:rPr>
      </w:pPr>
    </w:p>
    <w:p w14:paraId="3850A4A1" w14:textId="6026B332" w:rsidR="00320E14" w:rsidRDefault="00320E14" w:rsidP="00773183">
      <w:pPr>
        <w:tabs>
          <w:tab w:val="left" w:pos="8070"/>
        </w:tabs>
        <w:ind w:left="-720" w:right="-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B3611D" wp14:editId="6F0EBFD9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5FDBBD5-424E-48C8-898A-45F5282B54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9D4EE6" w14:textId="77777777" w:rsidR="00482F1D" w:rsidRDefault="00482F1D" w:rsidP="00773183">
      <w:pPr>
        <w:tabs>
          <w:tab w:val="left" w:pos="8070"/>
        </w:tabs>
        <w:spacing w:after="0"/>
        <w:ind w:left="-720" w:right="-720"/>
        <w:jc w:val="both"/>
        <w:rPr>
          <w:rFonts w:ascii="Arial" w:hAnsi="Arial" w:cs="Arial"/>
        </w:rPr>
      </w:pPr>
    </w:p>
    <w:p w14:paraId="35553AE0" w14:textId="77777777" w:rsidR="00D84BE4" w:rsidRDefault="00D84BE4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</w:rPr>
      </w:pPr>
    </w:p>
    <w:p w14:paraId="46A09BD3" w14:textId="77777777" w:rsidR="007B78DA" w:rsidRDefault="007B78DA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</w:p>
    <w:p w14:paraId="4E85218E" w14:textId="0BC60453" w:rsidR="00404488" w:rsidRDefault="008D721D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Exhibit 5</w:t>
      </w:r>
    </w:p>
    <w:tbl>
      <w:tblPr>
        <w:tblW w:w="6220" w:type="dxa"/>
        <w:jc w:val="center"/>
        <w:tblLook w:val="04A0" w:firstRow="1" w:lastRow="0" w:firstColumn="1" w:lastColumn="0" w:noHBand="0" w:noVBand="1"/>
      </w:tblPr>
      <w:tblGrid>
        <w:gridCol w:w="2583"/>
        <w:gridCol w:w="266"/>
        <w:gridCol w:w="1114"/>
        <w:gridCol w:w="1242"/>
        <w:gridCol w:w="1178"/>
      </w:tblGrid>
      <w:tr w:rsidR="008D721D" w:rsidRPr="0075300D" w14:paraId="26A626E6" w14:textId="77777777" w:rsidTr="00F375D0">
        <w:trPr>
          <w:trHeight w:val="300"/>
          <w:jc w:val="center"/>
        </w:trPr>
        <w:tc>
          <w:tcPr>
            <w:tcW w:w="6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44FC85CF" w14:textId="77777777" w:rsidR="008D721D" w:rsidRPr="0075300D" w:rsidRDefault="008D721D" w:rsidP="00F37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00D">
              <w:rPr>
                <w:rFonts w:ascii="Calibri" w:eastAsia="Times New Roman" w:hAnsi="Calibri" w:cs="Calibri"/>
                <w:b/>
                <w:bCs/>
                <w:color w:val="000000"/>
              </w:rPr>
              <w:t>DuPont Analysis</w:t>
            </w:r>
          </w:p>
        </w:tc>
      </w:tr>
      <w:tr w:rsidR="008D721D" w:rsidRPr="0075300D" w14:paraId="3E672640" w14:textId="77777777" w:rsidTr="00F375D0">
        <w:trPr>
          <w:trHeight w:val="315"/>
          <w:jc w:val="center"/>
        </w:trPr>
        <w:tc>
          <w:tcPr>
            <w:tcW w:w="25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2F1115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AF3010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D3C30E" w14:textId="77777777" w:rsidR="008D721D" w:rsidRPr="0075300D" w:rsidRDefault="008D721D" w:rsidP="00F37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300D">
              <w:rPr>
                <w:rFonts w:ascii="Calibri" w:eastAsia="Times New Roman" w:hAnsi="Calibri" w:cs="Calibri"/>
                <w:color w:val="000000"/>
                <w:u w:val="single"/>
              </w:rPr>
              <w:t>2000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EEE9D8" w14:textId="77777777" w:rsidR="008D721D" w:rsidRPr="0075300D" w:rsidRDefault="008D721D" w:rsidP="00F37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300D">
              <w:rPr>
                <w:rFonts w:ascii="Calibri" w:eastAsia="Times New Roman" w:hAnsi="Calibri" w:cs="Calibri"/>
                <w:color w:val="000000"/>
                <w:u w:val="single"/>
              </w:rPr>
              <w:t>2001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8DE3C0" w14:textId="77777777" w:rsidR="008D721D" w:rsidRPr="0075300D" w:rsidRDefault="008D721D" w:rsidP="00F37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300D">
              <w:rPr>
                <w:rFonts w:ascii="Calibri" w:eastAsia="Times New Roman" w:hAnsi="Calibri" w:cs="Calibri"/>
                <w:color w:val="000000"/>
                <w:u w:val="single"/>
              </w:rPr>
              <w:t>2002</w:t>
            </w:r>
          </w:p>
        </w:tc>
      </w:tr>
      <w:tr w:rsidR="008D721D" w:rsidRPr="0075300D" w14:paraId="12A2CD47" w14:textId="77777777" w:rsidTr="00F375D0">
        <w:trPr>
          <w:trHeight w:val="315"/>
          <w:jc w:val="center"/>
        </w:trPr>
        <w:tc>
          <w:tcPr>
            <w:tcW w:w="25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333580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>Net Profit Margin</w:t>
            </w:r>
          </w:p>
        </w:tc>
        <w:tc>
          <w:tcPr>
            <w:tcW w:w="1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983795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991EED" w14:textId="77777777" w:rsidR="008D721D" w:rsidRPr="0075300D" w:rsidRDefault="008D721D" w:rsidP="00F37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>-0.027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445519" w14:textId="77777777" w:rsidR="008D721D" w:rsidRPr="0075300D" w:rsidRDefault="008D721D" w:rsidP="00F37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>-0.061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81623F" w14:textId="77777777" w:rsidR="008D721D" w:rsidRPr="0075300D" w:rsidRDefault="008D721D" w:rsidP="00F37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>-0.048</w:t>
            </w:r>
          </w:p>
        </w:tc>
      </w:tr>
      <w:tr w:rsidR="008D721D" w:rsidRPr="0075300D" w14:paraId="67D58E10" w14:textId="77777777" w:rsidTr="00F375D0">
        <w:trPr>
          <w:trHeight w:val="300"/>
          <w:jc w:val="center"/>
        </w:trPr>
        <w:tc>
          <w:tcPr>
            <w:tcW w:w="25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A9CDBA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>Asset Turnover</w:t>
            </w:r>
          </w:p>
        </w:tc>
        <w:tc>
          <w:tcPr>
            <w:tcW w:w="1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45FD23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0CF3C5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 xml:space="preserve">         1.34 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F08E0E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 xml:space="preserve">           1.19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867F7B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 xml:space="preserve">          1.06 </w:t>
            </w:r>
          </w:p>
        </w:tc>
      </w:tr>
      <w:tr w:rsidR="008D721D" w:rsidRPr="0075300D" w14:paraId="00036F9E" w14:textId="77777777" w:rsidTr="00F375D0">
        <w:trPr>
          <w:trHeight w:val="300"/>
          <w:jc w:val="center"/>
        </w:trPr>
        <w:tc>
          <w:tcPr>
            <w:tcW w:w="25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B7E9BC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>Equity Multiplier</w:t>
            </w:r>
          </w:p>
        </w:tc>
        <w:tc>
          <w:tcPr>
            <w:tcW w:w="1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8E96AE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3772B1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 xml:space="preserve">         2.50 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37D633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 xml:space="preserve">           2.56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2163EE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 xml:space="preserve">          2.73 </w:t>
            </w:r>
          </w:p>
        </w:tc>
      </w:tr>
      <w:tr w:rsidR="008D721D" w:rsidRPr="0075300D" w14:paraId="42578D07" w14:textId="77777777" w:rsidTr="00F375D0">
        <w:trPr>
          <w:trHeight w:val="300"/>
          <w:jc w:val="center"/>
        </w:trPr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1EDD9ED2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 xml:space="preserve">ROE = NPM X AT X EM 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3722AE64" w14:textId="77777777" w:rsidR="008D721D" w:rsidRPr="0075300D" w:rsidRDefault="008D721D" w:rsidP="00F37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4888FA4C" w14:textId="77777777" w:rsidR="008D721D" w:rsidRPr="0075300D" w:rsidRDefault="008D721D" w:rsidP="00F37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>-0.09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49F70E2D" w14:textId="77777777" w:rsidR="008D721D" w:rsidRPr="0075300D" w:rsidRDefault="008D721D" w:rsidP="00F37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>-0.18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E7A2A6" w14:textId="77777777" w:rsidR="008D721D" w:rsidRPr="0075300D" w:rsidRDefault="008D721D" w:rsidP="00F37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300D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</w:tr>
    </w:tbl>
    <w:p w14:paraId="3BD9B9F1" w14:textId="2ABF14A4" w:rsidR="008D721D" w:rsidRDefault="008D721D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</w:p>
    <w:p w14:paraId="7F8792FE" w14:textId="0F1F1C0D" w:rsidR="008D721D" w:rsidRDefault="008D721D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</w:p>
    <w:p w14:paraId="3783E947" w14:textId="77777777" w:rsidR="008D721D" w:rsidRDefault="008D721D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</w:p>
    <w:p w14:paraId="47B566F2" w14:textId="07C79AE1" w:rsidR="00A31938" w:rsidRPr="00D70B8C" w:rsidRDefault="005C5BD8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  <w:r w:rsidRPr="00D70B8C">
        <w:rPr>
          <w:rFonts w:ascii="Arial" w:hAnsi="Arial" w:cs="Arial"/>
          <w:b/>
          <w:bCs/>
        </w:rPr>
        <w:t xml:space="preserve">Exhibit </w:t>
      </w:r>
      <w:r w:rsidR="00272DC8">
        <w:rPr>
          <w:rFonts w:ascii="Arial" w:hAnsi="Arial" w:cs="Arial"/>
          <w:b/>
          <w:bCs/>
        </w:rPr>
        <w:t>6</w:t>
      </w:r>
    </w:p>
    <w:p w14:paraId="38DA6D84" w14:textId="7DF6FBA2" w:rsidR="005C5BD8" w:rsidRDefault="005C5BD8" w:rsidP="00773183">
      <w:pPr>
        <w:tabs>
          <w:tab w:val="left" w:pos="8070"/>
        </w:tabs>
        <w:ind w:left="-720" w:right="-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62537A" wp14:editId="59E8916D">
            <wp:extent cx="3505200" cy="222885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79D4C87-A526-4A19-8E37-53B85E30C7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206367" w14:textId="2E3B8345" w:rsidR="005C5BD8" w:rsidRDefault="005C5BD8" w:rsidP="00773183">
      <w:pPr>
        <w:tabs>
          <w:tab w:val="left" w:pos="8070"/>
        </w:tabs>
        <w:ind w:left="-720" w:right="-720"/>
        <w:jc w:val="both"/>
        <w:rPr>
          <w:rFonts w:ascii="Arial" w:hAnsi="Arial" w:cs="Arial"/>
        </w:rPr>
      </w:pPr>
    </w:p>
    <w:p w14:paraId="63D8B295" w14:textId="77777777" w:rsidR="00394A80" w:rsidRDefault="00394A80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</w:p>
    <w:p w14:paraId="3C27AF08" w14:textId="6F2E7202" w:rsidR="005C5BD8" w:rsidRPr="00D70B8C" w:rsidRDefault="005C5BD8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  <w:r w:rsidRPr="00D70B8C">
        <w:rPr>
          <w:rFonts w:ascii="Arial" w:hAnsi="Arial" w:cs="Arial"/>
          <w:b/>
          <w:bCs/>
        </w:rPr>
        <w:t xml:space="preserve">Exhibit </w:t>
      </w:r>
      <w:r w:rsidR="00272DC8">
        <w:rPr>
          <w:rFonts w:ascii="Arial" w:hAnsi="Arial" w:cs="Arial"/>
          <w:b/>
          <w:bCs/>
        </w:rPr>
        <w:t>7</w:t>
      </w:r>
    </w:p>
    <w:p w14:paraId="26EB0AE8" w14:textId="4C3E62F5" w:rsidR="005C5BD8" w:rsidRDefault="005C5BD8" w:rsidP="00773183">
      <w:pPr>
        <w:tabs>
          <w:tab w:val="left" w:pos="8070"/>
        </w:tabs>
        <w:ind w:left="-720" w:right="-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DC0A6A" wp14:editId="2E968AE6">
            <wp:extent cx="3533775" cy="1990725"/>
            <wp:effectExtent l="0" t="0" r="9525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87D4435-00E7-422F-95F4-1D401DE431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CE0C4A7" w14:textId="77777777" w:rsidR="00404488" w:rsidRDefault="00404488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</w:p>
    <w:p w14:paraId="6970E34F" w14:textId="77777777" w:rsidR="008D721D" w:rsidRDefault="008D721D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</w:p>
    <w:p w14:paraId="1FDF37DA" w14:textId="77777777" w:rsidR="008D721D" w:rsidRDefault="008D721D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</w:p>
    <w:p w14:paraId="15444130" w14:textId="77777777" w:rsidR="008D721D" w:rsidRDefault="008D721D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</w:p>
    <w:p w14:paraId="7D81E0E6" w14:textId="77777777" w:rsidR="008D721D" w:rsidRDefault="008D721D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</w:p>
    <w:p w14:paraId="11182582" w14:textId="77777777" w:rsidR="008D721D" w:rsidRDefault="008D721D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</w:p>
    <w:p w14:paraId="7512877D" w14:textId="65D69B97" w:rsidR="005C5BD8" w:rsidRPr="00D70B8C" w:rsidRDefault="005C5BD8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  <w:r w:rsidRPr="00D70B8C">
        <w:rPr>
          <w:rFonts w:ascii="Arial" w:hAnsi="Arial" w:cs="Arial"/>
          <w:b/>
          <w:bCs/>
        </w:rPr>
        <w:lastRenderedPageBreak/>
        <w:t xml:space="preserve">Exhibit </w:t>
      </w:r>
      <w:r w:rsidR="00272DC8">
        <w:rPr>
          <w:rFonts w:ascii="Arial" w:hAnsi="Arial" w:cs="Arial"/>
          <w:b/>
          <w:bCs/>
        </w:rPr>
        <w:t>8</w:t>
      </w:r>
    </w:p>
    <w:p w14:paraId="7A4C6A76" w14:textId="666DF719" w:rsidR="005C5BD8" w:rsidRDefault="005C5BD8" w:rsidP="00773183">
      <w:pPr>
        <w:tabs>
          <w:tab w:val="left" w:pos="8070"/>
        </w:tabs>
        <w:ind w:left="-720" w:right="-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C85121" wp14:editId="4297EF06">
            <wp:extent cx="3514725" cy="2305050"/>
            <wp:effectExtent l="0" t="0" r="952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E0DF2F69-D468-4A52-86D9-25BB984354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41B4D0" w14:textId="41DC0790" w:rsidR="00E9122E" w:rsidRDefault="00E9122E" w:rsidP="00773183">
      <w:pPr>
        <w:tabs>
          <w:tab w:val="left" w:pos="8070"/>
        </w:tabs>
        <w:ind w:left="-720" w:right="-720"/>
        <w:jc w:val="center"/>
        <w:rPr>
          <w:rFonts w:ascii="Arial" w:hAnsi="Arial" w:cs="Arial"/>
        </w:rPr>
      </w:pPr>
    </w:p>
    <w:p w14:paraId="3A2D8971" w14:textId="605B68D4" w:rsidR="00CE6F09" w:rsidRDefault="00CE6F09" w:rsidP="00773183">
      <w:pPr>
        <w:tabs>
          <w:tab w:val="left" w:pos="8070"/>
        </w:tabs>
        <w:ind w:left="-720" w:right="-720"/>
        <w:jc w:val="center"/>
        <w:rPr>
          <w:rFonts w:ascii="Arial" w:hAnsi="Arial" w:cs="Arial"/>
        </w:rPr>
      </w:pPr>
    </w:p>
    <w:p w14:paraId="64683D3E" w14:textId="47DA1219" w:rsidR="00482F1D" w:rsidRPr="00E9120B" w:rsidRDefault="00E9120B" w:rsidP="00773183">
      <w:pPr>
        <w:tabs>
          <w:tab w:val="left" w:pos="8070"/>
        </w:tabs>
        <w:spacing w:after="0"/>
        <w:ind w:left="-720" w:right="-720"/>
        <w:jc w:val="center"/>
        <w:rPr>
          <w:rFonts w:ascii="Arial" w:hAnsi="Arial" w:cs="Arial"/>
          <w:b/>
          <w:bCs/>
        </w:rPr>
      </w:pPr>
      <w:r w:rsidRPr="00E9120B">
        <w:rPr>
          <w:rFonts w:ascii="Arial" w:hAnsi="Arial" w:cs="Arial"/>
          <w:b/>
          <w:bCs/>
        </w:rPr>
        <w:t xml:space="preserve">Exhibit </w:t>
      </w:r>
      <w:r w:rsidR="00272DC8">
        <w:rPr>
          <w:rFonts w:ascii="Arial" w:hAnsi="Arial" w:cs="Arial"/>
          <w:b/>
          <w:bCs/>
        </w:rPr>
        <w:t>9</w:t>
      </w:r>
    </w:p>
    <w:tbl>
      <w:tblPr>
        <w:tblW w:w="5880" w:type="dxa"/>
        <w:jc w:val="center"/>
        <w:tblLook w:val="04A0" w:firstRow="1" w:lastRow="0" w:firstColumn="1" w:lastColumn="0" w:noHBand="0" w:noVBand="1"/>
      </w:tblPr>
      <w:tblGrid>
        <w:gridCol w:w="3084"/>
        <w:gridCol w:w="896"/>
        <w:gridCol w:w="950"/>
        <w:gridCol w:w="950"/>
      </w:tblGrid>
      <w:tr w:rsidR="008D721D" w:rsidRPr="008D721D" w14:paraId="57141DC7" w14:textId="77777777" w:rsidTr="008D721D">
        <w:trPr>
          <w:trHeight w:val="375"/>
          <w:jc w:val="center"/>
        </w:trPr>
        <w:tc>
          <w:tcPr>
            <w:tcW w:w="5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05F30504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D721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Zinser</w:t>
            </w:r>
            <w:proofErr w:type="spellEnd"/>
            <w:r w:rsidRPr="008D721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Sale Assumptions</w:t>
            </w:r>
          </w:p>
        </w:tc>
      </w:tr>
      <w:tr w:rsidR="008D721D" w:rsidRPr="008D721D" w14:paraId="75EDEC86" w14:textId="77777777" w:rsidTr="008D721D">
        <w:trPr>
          <w:trHeight w:val="300"/>
          <w:jc w:val="center"/>
        </w:trPr>
        <w:tc>
          <w:tcPr>
            <w:tcW w:w="3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C74564" w14:textId="77777777" w:rsidR="008D721D" w:rsidRPr="008D721D" w:rsidRDefault="008D721D" w:rsidP="008D7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72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CBDEEF6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>3-Year</w:t>
            </w: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8520D9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>5-Year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49D144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>7-Year</w:t>
            </w:r>
          </w:p>
        </w:tc>
      </w:tr>
      <w:tr w:rsidR="008D721D" w:rsidRPr="008D721D" w14:paraId="488219A5" w14:textId="77777777" w:rsidTr="008D721D">
        <w:trPr>
          <w:trHeight w:val="300"/>
          <w:jc w:val="center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97D42E" w14:textId="77777777" w:rsidR="008D721D" w:rsidRPr="008D721D" w:rsidRDefault="008D721D" w:rsidP="008D7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>book value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B3BA29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5,775 </w:t>
            </w: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F97B61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4,125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FF12D5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2,475 </w:t>
            </w:r>
          </w:p>
        </w:tc>
      </w:tr>
      <w:tr w:rsidR="008D721D" w:rsidRPr="008D721D" w14:paraId="0A9F8DBF" w14:textId="77777777" w:rsidTr="008D721D">
        <w:trPr>
          <w:trHeight w:val="300"/>
          <w:jc w:val="center"/>
        </w:trPr>
        <w:tc>
          <w:tcPr>
            <w:tcW w:w="3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1EA57C" w14:textId="77777777" w:rsidR="008D721D" w:rsidRPr="008D721D" w:rsidRDefault="008D721D" w:rsidP="008D7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>Market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BF5805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2,888 </w:t>
            </w: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A086B7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2,063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5CFE97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1,238 </w:t>
            </w:r>
          </w:p>
        </w:tc>
      </w:tr>
      <w:tr w:rsidR="008D721D" w:rsidRPr="008D721D" w14:paraId="16BE135D" w14:textId="77777777" w:rsidTr="008D721D">
        <w:trPr>
          <w:trHeight w:val="300"/>
          <w:jc w:val="center"/>
        </w:trPr>
        <w:tc>
          <w:tcPr>
            <w:tcW w:w="3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0D9648" w14:textId="77777777" w:rsidR="008D721D" w:rsidRPr="008D721D" w:rsidRDefault="008D721D" w:rsidP="008D7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>Loss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4B0B5B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(2,888)</w:t>
            </w: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FF9064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(2,063)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5324F8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(1,238)</w:t>
            </w:r>
          </w:p>
        </w:tc>
      </w:tr>
      <w:tr w:rsidR="008D721D" w:rsidRPr="008D721D" w14:paraId="37FFB020" w14:textId="77777777" w:rsidTr="008D721D">
        <w:trPr>
          <w:trHeight w:val="300"/>
          <w:jc w:val="center"/>
        </w:trPr>
        <w:tc>
          <w:tcPr>
            <w:tcW w:w="3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F9A563" w14:textId="77777777" w:rsidR="008D721D" w:rsidRPr="008D721D" w:rsidRDefault="008D721D" w:rsidP="008D7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>Tax Harvest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4A8F32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1,040 </w:t>
            </w: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644EE6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743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33B04F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446 </w:t>
            </w:r>
          </w:p>
        </w:tc>
      </w:tr>
      <w:tr w:rsidR="008D721D" w:rsidRPr="008D721D" w14:paraId="706C20AB" w14:textId="77777777" w:rsidTr="008D721D">
        <w:trPr>
          <w:trHeight w:val="300"/>
          <w:jc w:val="center"/>
        </w:trPr>
        <w:tc>
          <w:tcPr>
            <w:tcW w:w="3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1484FA" w14:textId="77777777" w:rsidR="008D721D" w:rsidRPr="008D721D" w:rsidRDefault="008D721D" w:rsidP="008D7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Net Benefit from sale of </w:t>
            </w:r>
            <w:proofErr w:type="spellStart"/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>Zinser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193E645B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3,927 </w:t>
            </w: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9CC25D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2,805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D93250" w14:textId="77777777" w:rsidR="008D721D" w:rsidRPr="008D721D" w:rsidRDefault="008D721D" w:rsidP="008D7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7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1,683 </w:t>
            </w:r>
          </w:p>
        </w:tc>
      </w:tr>
    </w:tbl>
    <w:p w14:paraId="78DE9FDD" w14:textId="77777777" w:rsidR="00E9120B" w:rsidRPr="00160B5E" w:rsidRDefault="00E9120B" w:rsidP="00773183">
      <w:pPr>
        <w:tabs>
          <w:tab w:val="left" w:pos="8070"/>
        </w:tabs>
        <w:ind w:left="-720" w:right="-720"/>
        <w:jc w:val="center"/>
        <w:rPr>
          <w:rFonts w:ascii="Arial" w:hAnsi="Arial" w:cs="Arial"/>
        </w:rPr>
      </w:pPr>
    </w:p>
    <w:sectPr w:rsidR="00E9120B" w:rsidRPr="00160B5E" w:rsidSect="00BF79FB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CB215" w14:textId="77777777" w:rsidR="00453BAF" w:rsidRDefault="00453BAF" w:rsidP="00615448">
      <w:pPr>
        <w:spacing w:after="0" w:line="240" w:lineRule="auto"/>
      </w:pPr>
      <w:r>
        <w:separator/>
      </w:r>
    </w:p>
  </w:endnote>
  <w:endnote w:type="continuationSeparator" w:id="0">
    <w:p w14:paraId="75958016" w14:textId="77777777" w:rsidR="00453BAF" w:rsidRDefault="00453BAF" w:rsidP="00615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4BC76" w14:textId="77777777" w:rsidR="00453BAF" w:rsidRDefault="00453BAF" w:rsidP="00615448">
      <w:pPr>
        <w:spacing w:after="0" w:line="240" w:lineRule="auto"/>
      </w:pPr>
      <w:r>
        <w:separator/>
      </w:r>
    </w:p>
  </w:footnote>
  <w:footnote w:type="continuationSeparator" w:id="0">
    <w:p w14:paraId="310DF261" w14:textId="77777777" w:rsidR="00453BAF" w:rsidRDefault="00453BAF" w:rsidP="00615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12C58"/>
    <w:multiLevelType w:val="hybridMultilevel"/>
    <w:tmpl w:val="B938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6CEA"/>
    <w:multiLevelType w:val="hybridMultilevel"/>
    <w:tmpl w:val="4EDE279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699120D6"/>
    <w:multiLevelType w:val="hybridMultilevel"/>
    <w:tmpl w:val="CDBC4EC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53"/>
    <w:rsid w:val="0000720A"/>
    <w:rsid w:val="00012971"/>
    <w:rsid w:val="00012B4E"/>
    <w:rsid w:val="000139B8"/>
    <w:rsid w:val="00015DD1"/>
    <w:rsid w:val="00020A06"/>
    <w:rsid w:val="00070CB2"/>
    <w:rsid w:val="00075E8D"/>
    <w:rsid w:val="0009525C"/>
    <w:rsid w:val="000A24E0"/>
    <w:rsid w:val="00104023"/>
    <w:rsid w:val="001178CA"/>
    <w:rsid w:val="001179BC"/>
    <w:rsid w:val="00117D9F"/>
    <w:rsid w:val="00134585"/>
    <w:rsid w:val="00134ECB"/>
    <w:rsid w:val="0015646D"/>
    <w:rsid w:val="00160B5E"/>
    <w:rsid w:val="00177860"/>
    <w:rsid w:val="001779F1"/>
    <w:rsid w:val="001924AE"/>
    <w:rsid w:val="001C2180"/>
    <w:rsid w:val="001F5BF5"/>
    <w:rsid w:val="001F77A6"/>
    <w:rsid w:val="00216909"/>
    <w:rsid w:val="00222F6D"/>
    <w:rsid w:val="002465FA"/>
    <w:rsid w:val="00255947"/>
    <w:rsid w:val="00272DC8"/>
    <w:rsid w:val="00274CE3"/>
    <w:rsid w:val="00297081"/>
    <w:rsid w:val="002B28CF"/>
    <w:rsid w:val="002B51B5"/>
    <w:rsid w:val="002F0513"/>
    <w:rsid w:val="002F0E3F"/>
    <w:rsid w:val="00320E14"/>
    <w:rsid w:val="0032177A"/>
    <w:rsid w:val="003233AD"/>
    <w:rsid w:val="00335F01"/>
    <w:rsid w:val="00363653"/>
    <w:rsid w:val="00377F9F"/>
    <w:rsid w:val="00394A80"/>
    <w:rsid w:val="003A7C7A"/>
    <w:rsid w:val="003B6025"/>
    <w:rsid w:val="003D0659"/>
    <w:rsid w:val="003D75BB"/>
    <w:rsid w:val="003D7683"/>
    <w:rsid w:val="003E3925"/>
    <w:rsid w:val="003F79AA"/>
    <w:rsid w:val="00404488"/>
    <w:rsid w:val="004176A1"/>
    <w:rsid w:val="00453BAF"/>
    <w:rsid w:val="00477E7E"/>
    <w:rsid w:val="00482F1D"/>
    <w:rsid w:val="0048608F"/>
    <w:rsid w:val="004960AA"/>
    <w:rsid w:val="004B0F75"/>
    <w:rsid w:val="004C4581"/>
    <w:rsid w:val="004F1B54"/>
    <w:rsid w:val="00506D6B"/>
    <w:rsid w:val="00510540"/>
    <w:rsid w:val="00525237"/>
    <w:rsid w:val="005321C5"/>
    <w:rsid w:val="00532C99"/>
    <w:rsid w:val="00544838"/>
    <w:rsid w:val="00564FE2"/>
    <w:rsid w:val="00576153"/>
    <w:rsid w:val="00577594"/>
    <w:rsid w:val="00577B4B"/>
    <w:rsid w:val="005C3502"/>
    <w:rsid w:val="005C5BD8"/>
    <w:rsid w:val="005E2933"/>
    <w:rsid w:val="005F2760"/>
    <w:rsid w:val="005F4365"/>
    <w:rsid w:val="005F4B4B"/>
    <w:rsid w:val="006017F9"/>
    <w:rsid w:val="00615448"/>
    <w:rsid w:val="0062304B"/>
    <w:rsid w:val="00656BE3"/>
    <w:rsid w:val="00671077"/>
    <w:rsid w:val="00683D8F"/>
    <w:rsid w:val="00693A3C"/>
    <w:rsid w:val="006A4911"/>
    <w:rsid w:val="006E3D53"/>
    <w:rsid w:val="006E5B10"/>
    <w:rsid w:val="0070713A"/>
    <w:rsid w:val="00712561"/>
    <w:rsid w:val="00720F18"/>
    <w:rsid w:val="00731D76"/>
    <w:rsid w:val="0075300D"/>
    <w:rsid w:val="00757F42"/>
    <w:rsid w:val="00760EFF"/>
    <w:rsid w:val="00773183"/>
    <w:rsid w:val="00780032"/>
    <w:rsid w:val="00794420"/>
    <w:rsid w:val="007B06BE"/>
    <w:rsid w:val="007B1F65"/>
    <w:rsid w:val="007B2B27"/>
    <w:rsid w:val="007B78DA"/>
    <w:rsid w:val="007C7980"/>
    <w:rsid w:val="007E4618"/>
    <w:rsid w:val="00813018"/>
    <w:rsid w:val="008C2703"/>
    <w:rsid w:val="008D1618"/>
    <w:rsid w:val="008D66D0"/>
    <w:rsid w:val="008D721D"/>
    <w:rsid w:val="008E0361"/>
    <w:rsid w:val="00917DAE"/>
    <w:rsid w:val="009657D6"/>
    <w:rsid w:val="00981680"/>
    <w:rsid w:val="009A42BE"/>
    <w:rsid w:val="009C3EA5"/>
    <w:rsid w:val="009E2719"/>
    <w:rsid w:val="009F09D1"/>
    <w:rsid w:val="00A02EEF"/>
    <w:rsid w:val="00A25409"/>
    <w:rsid w:val="00A31938"/>
    <w:rsid w:val="00A37963"/>
    <w:rsid w:val="00A42D3F"/>
    <w:rsid w:val="00A44CD2"/>
    <w:rsid w:val="00A573B6"/>
    <w:rsid w:val="00A91B78"/>
    <w:rsid w:val="00AB6CE0"/>
    <w:rsid w:val="00AD09DE"/>
    <w:rsid w:val="00AD5B7B"/>
    <w:rsid w:val="00AE138A"/>
    <w:rsid w:val="00AE6B22"/>
    <w:rsid w:val="00AE6C29"/>
    <w:rsid w:val="00AF6DCD"/>
    <w:rsid w:val="00B041BC"/>
    <w:rsid w:val="00B1482A"/>
    <w:rsid w:val="00B17CFE"/>
    <w:rsid w:val="00B221A8"/>
    <w:rsid w:val="00B42830"/>
    <w:rsid w:val="00B828D9"/>
    <w:rsid w:val="00B934CC"/>
    <w:rsid w:val="00BA093C"/>
    <w:rsid w:val="00BB2860"/>
    <w:rsid w:val="00BB3D51"/>
    <w:rsid w:val="00BC75F8"/>
    <w:rsid w:val="00BD73AE"/>
    <w:rsid w:val="00BE45E8"/>
    <w:rsid w:val="00BF352A"/>
    <w:rsid w:val="00BF79FB"/>
    <w:rsid w:val="00BF7E87"/>
    <w:rsid w:val="00BF7EA9"/>
    <w:rsid w:val="00C61504"/>
    <w:rsid w:val="00C75F06"/>
    <w:rsid w:val="00CC089A"/>
    <w:rsid w:val="00CC127F"/>
    <w:rsid w:val="00CE6F09"/>
    <w:rsid w:val="00CF1576"/>
    <w:rsid w:val="00CF61E2"/>
    <w:rsid w:val="00D0300D"/>
    <w:rsid w:val="00D06098"/>
    <w:rsid w:val="00D06980"/>
    <w:rsid w:val="00D212D9"/>
    <w:rsid w:val="00D57FEC"/>
    <w:rsid w:val="00D70B8C"/>
    <w:rsid w:val="00D84BE4"/>
    <w:rsid w:val="00D97EB1"/>
    <w:rsid w:val="00DE22AC"/>
    <w:rsid w:val="00E01594"/>
    <w:rsid w:val="00E1258A"/>
    <w:rsid w:val="00E24E36"/>
    <w:rsid w:val="00E34F98"/>
    <w:rsid w:val="00E674AF"/>
    <w:rsid w:val="00E71761"/>
    <w:rsid w:val="00E7574F"/>
    <w:rsid w:val="00E75CC8"/>
    <w:rsid w:val="00E81426"/>
    <w:rsid w:val="00E9120B"/>
    <w:rsid w:val="00E9122E"/>
    <w:rsid w:val="00E9251B"/>
    <w:rsid w:val="00EB370A"/>
    <w:rsid w:val="00EC04FF"/>
    <w:rsid w:val="00EE396E"/>
    <w:rsid w:val="00EE5605"/>
    <w:rsid w:val="00F21DB3"/>
    <w:rsid w:val="00F22381"/>
    <w:rsid w:val="00F278DB"/>
    <w:rsid w:val="00F611DC"/>
    <w:rsid w:val="00F702AA"/>
    <w:rsid w:val="00F8791A"/>
    <w:rsid w:val="00F87A6B"/>
    <w:rsid w:val="00F87CF1"/>
    <w:rsid w:val="00FD2C24"/>
    <w:rsid w:val="00FE0616"/>
    <w:rsid w:val="00FE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C144"/>
  <w15:chartTrackingRefBased/>
  <w15:docId w15:val="{412BC38F-1D90-4B06-B8EE-BD5BC87C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448"/>
  </w:style>
  <w:style w:type="paragraph" w:styleId="Footer">
    <w:name w:val="footer"/>
    <w:basedOn w:val="Normal"/>
    <w:link w:val="FooterChar"/>
    <w:uiPriority w:val="99"/>
    <w:unhideWhenUsed/>
    <w:rsid w:val="00615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Advanced%20Corp%20Finance\Aurora%20Textile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Advanced%20Corp%20Finance\Aurora%20Textile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Advanced%20Corp%20Finance\Aurora%20Textile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Advanced%20Corp%20Finance\Aurora%20Textile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Advanced%20Corp%20Finance\Aurora%20Textile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Advanced%20Corp%20Finance\Aurora%20Textile.xlsm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Advanced%20Corp%20Finance\Aurora%20Textile.xlsm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baseline="0"/>
              <a:t>SG&amp;A as % of sales in a declining sales environment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Aurora!$O$5:$P$5</c:f>
              <c:strCache>
                <c:ptCount val="2"/>
                <c:pt idx="0">
                  <c:v>Sales Growth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Aurora!$Q$4:$S$4</c:f>
              <c:numCache>
                <c:formatCode>General</c:formatCode>
                <c:ptCount val="3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</c:numCache>
            </c:numRef>
          </c:cat>
          <c:val>
            <c:numRef>
              <c:f>Aurora!$Q$5:$S$5</c:f>
              <c:numCache>
                <c:formatCode>0.00%</c:formatCode>
                <c:ptCount val="3"/>
                <c:pt idx="0">
                  <c:v>-6.5558294827821328E-2</c:v>
                </c:pt>
                <c:pt idx="1">
                  <c:v>-0.20380432608569141</c:v>
                </c:pt>
                <c:pt idx="2">
                  <c:v>-0.1937764452323861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A8-4842-AA87-03501CD93419}"/>
            </c:ext>
          </c:extLst>
        </c:ser>
        <c:ser>
          <c:idx val="1"/>
          <c:order val="1"/>
          <c:tx>
            <c:strRef>
              <c:f>Aurora!$O$6:$P$6</c:f>
              <c:strCache>
                <c:ptCount val="2"/>
                <c:pt idx="0">
                  <c:v>SG&amp;A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numRef>
              <c:f>Aurora!$Q$4:$S$4</c:f>
              <c:numCache>
                <c:formatCode>General</c:formatCode>
                <c:ptCount val="3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</c:numCache>
            </c:numRef>
          </c:cat>
          <c:val>
            <c:numRef>
              <c:f>Aurora!$Q$6:$S$6</c:f>
              <c:numCache>
                <c:formatCode>0.00%</c:formatCode>
                <c:ptCount val="3"/>
                <c:pt idx="0">
                  <c:v>6.187479303408306E-2</c:v>
                </c:pt>
                <c:pt idx="1">
                  <c:v>6.3594831865827248E-2</c:v>
                </c:pt>
                <c:pt idx="2">
                  <c:v>6.9863115614554799E-2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A8-4842-AA87-03501CD93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9350856"/>
        <c:axId val="519349216"/>
      </c:barChart>
      <c:catAx>
        <c:axId val="519350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349216"/>
        <c:crosses val="autoZero"/>
        <c:auto val="1"/>
        <c:lblAlgn val="ctr"/>
        <c:lblOffset val="100"/>
        <c:noMultiLvlLbl val="0"/>
      </c:catAx>
      <c:valAx>
        <c:axId val="51934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350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Cash Conversion Cycle</a:t>
            </a:r>
          </a:p>
          <a:p>
            <a:pPr>
              <a:defRPr b="1"/>
            </a:pPr>
            <a:r>
              <a:rPr lang="en-US" sz="1100" b="0"/>
              <a:t>days to convert</a:t>
            </a:r>
            <a:r>
              <a:rPr lang="en-US" sz="1100" b="0" baseline="0"/>
              <a:t> investments into cash</a:t>
            </a:r>
            <a:endParaRPr lang="en-US" sz="1100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Aurora!$O$11:$P$11</c:f>
              <c:strCache>
                <c:ptCount val="2"/>
                <c:pt idx="0">
                  <c:v>Days Sales Outstanding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Aurora!$Q$10:$S$10</c:f>
              <c:numCache>
                <c:formatCode>General</c:formatCode>
                <c:ptCount val="3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</c:numCache>
            </c:numRef>
          </c:cat>
          <c:val>
            <c:numRef>
              <c:f>Aurora!$Q$11:$S$11</c:f>
              <c:numCache>
                <c:formatCode>_(* #,##0_);_(* \(#,##0\);_(* "-"_);_(@_)</c:formatCode>
                <c:ptCount val="3"/>
                <c:pt idx="0">
                  <c:v>23.020323525598101</c:v>
                </c:pt>
                <c:pt idx="1">
                  <c:v>31.973265071564537</c:v>
                </c:pt>
                <c:pt idx="2" formatCode="0">
                  <c:v>57.480869878974289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1B-4EB1-9244-89F39646A804}"/>
            </c:ext>
          </c:extLst>
        </c:ser>
        <c:ser>
          <c:idx val="1"/>
          <c:order val="1"/>
          <c:tx>
            <c:strRef>
              <c:f>Aurora!$O$12:$P$12</c:f>
              <c:strCache>
                <c:ptCount val="2"/>
                <c:pt idx="0">
                  <c:v>Days Inventory Outstanding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Aurora!$Q$10:$S$10</c:f>
              <c:numCache>
                <c:formatCode>General</c:formatCode>
                <c:ptCount val="3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</c:numCache>
            </c:numRef>
          </c:cat>
          <c:val>
            <c:numRef>
              <c:f>Aurora!$Q$12:$S$12</c:f>
              <c:numCache>
                <c:formatCode>_(* #,##0_);_(* \(#,##0\);_(* "-"_);_(@_)</c:formatCode>
                <c:ptCount val="3"/>
                <c:pt idx="0">
                  <c:v>30.696836355733677</c:v>
                </c:pt>
                <c:pt idx="1">
                  <c:v>33.635524811257312</c:v>
                </c:pt>
                <c:pt idx="2" formatCode="0">
                  <c:v>34.664531589974267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1B-4EB1-9244-89F39646A804}"/>
            </c:ext>
          </c:extLst>
        </c:ser>
        <c:ser>
          <c:idx val="2"/>
          <c:order val="2"/>
          <c:tx>
            <c:strRef>
              <c:f>Aurora!$O$13:$P$13</c:f>
              <c:strCache>
                <c:ptCount val="2"/>
                <c:pt idx="0">
                  <c:v>Days Payables Outstanding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Aurora!$Q$10:$S$10</c:f>
              <c:numCache>
                <c:formatCode>General</c:formatCode>
                <c:ptCount val="3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</c:numCache>
            </c:numRef>
          </c:cat>
          <c:val>
            <c:numRef>
              <c:f>Aurora!$Q$13:$S$13</c:f>
              <c:numCache>
                <c:formatCode>_(* #,##0_);_(* \(#,##0\);_(* "-"_);_(@_)</c:formatCode>
                <c:ptCount val="3"/>
                <c:pt idx="0">
                  <c:v>17.598035991167794</c:v>
                </c:pt>
                <c:pt idx="1">
                  <c:v>19.044903831639402</c:v>
                </c:pt>
                <c:pt idx="2" formatCode="0">
                  <c:v>29.486120719065276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1B-4EB1-9244-89F39646A804}"/>
            </c:ext>
          </c:extLst>
        </c:ser>
        <c:ser>
          <c:idx val="3"/>
          <c:order val="3"/>
          <c:tx>
            <c:strRef>
              <c:f>Aurora!$O$14:$P$14</c:f>
              <c:strCache>
                <c:ptCount val="2"/>
                <c:pt idx="0">
                  <c:v>CCC = DIO + DSO - DPO</c:v>
                </c:pt>
              </c:strCache>
            </c:strRef>
          </c:tx>
          <c:spPr>
            <a:ln w="571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44450" cap="rnd">
                <a:solidFill>
                  <a:schemeClr val="accent4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D01B-4EB1-9244-89F39646A804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57150" cap="rnd">
                <a:solidFill>
                  <a:schemeClr val="accent4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D01B-4EB1-9244-89F39646A804}"/>
              </c:ext>
            </c:extLst>
          </c:dPt>
          <c:dLbls>
            <c:dLbl>
              <c:idx val="0"/>
              <c:layout>
                <c:manualLayout>
                  <c:x val="-4.5639771801140996E-2"/>
                  <c:y val="-9.3567251461988354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01B-4EB1-9244-89F39646A804}"/>
                </c:ext>
              </c:extLst>
            </c:dLbl>
            <c:dLbl>
              <c:idx val="1"/>
              <c:layout>
                <c:manualLayout>
                  <c:x val="-5.5419722901385554E-2"/>
                  <c:y val="-0.1052631578947368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01B-4EB1-9244-89F39646A804}"/>
                </c:ext>
              </c:extLst>
            </c:dLbl>
            <c:dLbl>
              <c:idx val="2"/>
              <c:layout>
                <c:manualLayout>
                  <c:x val="-6.1939690301548549E-2"/>
                  <c:y val="-7.0175438596491224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D01B-4EB1-9244-89F39646A80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Aurora!$Q$10:$S$10</c:f>
              <c:numCache>
                <c:formatCode>General</c:formatCode>
                <c:ptCount val="3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</c:numCache>
            </c:numRef>
          </c:cat>
          <c:val>
            <c:numRef>
              <c:f>Aurora!$Q$14:$S$14</c:f>
              <c:numCache>
                <c:formatCode>_(* #,##0_);_(* \(#,##0\);_(* "-"_);_(@_)</c:formatCode>
                <c:ptCount val="3"/>
                <c:pt idx="0">
                  <c:v>36.119123890163991</c:v>
                </c:pt>
                <c:pt idx="1">
                  <c:v>46.56388605118245</c:v>
                </c:pt>
                <c:pt idx="2" formatCode="0">
                  <c:v>62.659280749883287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01B-4EB1-9244-89F39646A8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512560"/>
        <c:axId val="522516168"/>
      </c:lineChart>
      <c:catAx>
        <c:axId val="52251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516168"/>
        <c:crosses val="autoZero"/>
        <c:auto val="1"/>
        <c:lblAlgn val="ctr"/>
        <c:lblOffset val="100"/>
        <c:noMultiLvlLbl val="0"/>
      </c:catAx>
      <c:valAx>
        <c:axId val="522516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51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200" b="1">
                <a:latin typeface="Arial" panose="020B0604020202020204" pitchFamily="34" charset="0"/>
                <a:cs typeface="Arial" panose="020B0604020202020204" pitchFamily="34" charset="0"/>
              </a:rPr>
              <a:t>Aurora's Customer Segments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B6C-46EE-812C-592FB9807E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6C-46EE-812C-592FB9807E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6C-46EE-812C-592FB9807E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B6C-46EE-812C-592FB9807E2E}"/>
              </c:ext>
            </c:extLst>
          </c:dPt>
          <c:dLbls>
            <c:dLbl>
              <c:idx val="0"/>
              <c:layout>
                <c:manualLayout>
                  <c:x val="3.307680107238057E-2"/>
                  <c:y val="1.27458984014958E-4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B6C-46EE-812C-592FB9807E2E}"/>
                </c:ext>
              </c:extLst>
            </c:dLbl>
            <c:dLbl>
              <c:idx val="1"/>
              <c:layout>
                <c:manualLayout>
                  <c:x val="-7.8729924841266188E-2"/>
                  <c:y val="-3.6223983707722153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B6C-46EE-812C-592FB9807E2E}"/>
                </c:ext>
              </c:extLst>
            </c:dLbl>
            <c:dLbl>
              <c:idx val="2"/>
              <c:layout>
                <c:manualLayout>
                  <c:x val="-6.269998413940947E-2"/>
                  <c:y val="2.5857670801183296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B6C-46EE-812C-592FB9807E2E}"/>
                </c:ext>
              </c:extLst>
            </c:dLbl>
            <c:dLbl>
              <c:idx val="3"/>
              <c:layout>
                <c:manualLayout>
                  <c:x val="-5.9773961003412632E-2"/>
                  <c:y val="4.0789683898208376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B6C-46EE-812C-592FB9807E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Sheet1!$G$9:$G$12</c:f>
              <c:strCache>
                <c:ptCount val="4"/>
                <c:pt idx="0">
                  <c:v>Athletic and dress socks</c:v>
                </c:pt>
                <c:pt idx="1">
                  <c:v>Dress shirts</c:v>
                </c:pt>
                <c:pt idx="2">
                  <c:v>Denim for jeans</c:v>
                </c:pt>
                <c:pt idx="3">
                  <c:v>Industrial and specialty</c:v>
                </c:pt>
              </c:strCache>
            </c:strRef>
          </c:cat>
          <c:val>
            <c:numRef>
              <c:f>Sheet1!$H$9:$H$12</c:f>
              <c:numCache>
                <c:formatCode>0%</c:formatCode>
                <c:ptCount val="4"/>
                <c:pt idx="0">
                  <c:v>0.43</c:v>
                </c:pt>
                <c:pt idx="1">
                  <c:v>0.35</c:v>
                </c:pt>
                <c:pt idx="2">
                  <c:v>0.13</c:v>
                </c:pt>
                <c:pt idx="3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B6C-46EE-812C-592FB9807E2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Asset Management</a:t>
            </a:r>
            <a:r>
              <a:rPr lang="en-US" baseline="0"/>
              <a:t> Measures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Aurora!$O$27:$P$27</c:f>
              <c:strCache>
                <c:ptCount val="2"/>
                <c:pt idx="0">
                  <c:v>Inventory Turnover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Aurora!$Q$26:$S$26</c:f>
              <c:numCache>
                <c:formatCode>General</c:formatCode>
                <c:ptCount val="3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</c:numCache>
            </c:numRef>
          </c:cat>
          <c:val>
            <c:numRef>
              <c:f>Aurora!$Q$27:$S$27</c:f>
              <c:numCache>
                <c:formatCode>0.00</c:formatCode>
                <c:ptCount val="3"/>
                <c:pt idx="0">
                  <c:v>6.9306779429950227</c:v>
                </c:pt>
                <c:pt idx="1">
                  <c:v>5.8427847379682554</c:v>
                </c:pt>
                <c:pt idx="2">
                  <c:v>4.4324396297854447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77-41D0-9E30-EA0789879674}"/>
            </c:ext>
          </c:extLst>
        </c:ser>
        <c:ser>
          <c:idx val="2"/>
          <c:order val="2"/>
          <c:tx>
            <c:strRef>
              <c:f>Aurora!$O$29:$P$29</c:f>
              <c:strCache>
                <c:ptCount val="2"/>
                <c:pt idx="0">
                  <c:v>Fixed Asset Turnover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Aurora!$Q$26:$S$26</c:f>
              <c:numCache>
                <c:formatCode>General</c:formatCode>
                <c:ptCount val="3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</c:numCache>
            </c:numRef>
          </c:cat>
          <c:val>
            <c:numRef>
              <c:f>Aurora!$Q$29:$S$29</c:f>
              <c:numCache>
                <c:formatCode>0.00</c:formatCode>
                <c:ptCount val="3"/>
                <c:pt idx="0">
                  <c:v>2.0399547881359692</c:v>
                </c:pt>
                <c:pt idx="1">
                  <c:v>2.0692769156817281</c:v>
                </c:pt>
                <c:pt idx="2">
                  <c:v>2.0403176750491054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77-41D0-9E30-EA0789879674}"/>
            </c:ext>
          </c:extLst>
        </c:ser>
        <c:ser>
          <c:idx val="3"/>
          <c:order val="3"/>
          <c:tx>
            <c:strRef>
              <c:f>Aurora!$O$30:$P$30</c:f>
              <c:strCache>
                <c:ptCount val="2"/>
                <c:pt idx="0">
                  <c:v>Total Assets Turnover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Aurora!$Q$26:$S$26</c:f>
              <c:numCache>
                <c:formatCode>General</c:formatCode>
                <c:ptCount val="3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</c:numCache>
            </c:numRef>
          </c:cat>
          <c:val>
            <c:numRef>
              <c:f>Aurora!$Q$30:$S$30</c:f>
              <c:numCache>
                <c:formatCode>0.00</c:formatCode>
                <c:ptCount val="3"/>
                <c:pt idx="0">
                  <c:v>1.3935752756383042</c:v>
                </c:pt>
                <c:pt idx="1">
                  <c:v>1.2792006775134068</c:v>
                </c:pt>
                <c:pt idx="2">
                  <c:v>1.0846506459986325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77-41D0-9E30-EA0789879674}"/>
            </c:ext>
          </c:extLst>
        </c:ser>
        <c:ser>
          <c:idx val="4"/>
          <c:order val="4"/>
          <c:tx>
            <c:strRef>
              <c:f>Aurora!$O$31:$P$31</c:f>
              <c:strCache>
                <c:ptCount val="2"/>
                <c:pt idx="0">
                  <c:v>Current Ratio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Aurora!$Q$26:$S$26</c:f>
              <c:numCache>
                <c:formatCode>General</c:formatCode>
                <c:ptCount val="3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</c:numCache>
            </c:numRef>
          </c:cat>
          <c:val>
            <c:numRef>
              <c:f>Aurora!$Q$31:$S$31</c:f>
              <c:numCache>
                <c:formatCode>0.00</c:formatCode>
                <c:ptCount val="3"/>
                <c:pt idx="0">
                  <c:v>2.8803682672694193</c:v>
                </c:pt>
                <c:pt idx="1">
                  <c:v>2.9225582017661225</c:v>
                </c:pt>
                <c:pt idx="2">
                  <c:v>3.1609845665227532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777-41D0-9E30-EA07898796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3514288"/>
        <c:axId val="31351527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Aurora!$O$28:$P$28</c15:sqref>
                        </c15:formulaRef>
                      </c:ext>
                    </c:extLst>
                    <c:strCache>
                      <c:ptCount val="2"/>
                      <c:pt idx="0">
                        <c:v>Days Sales Outstanding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Aurora!$Q$26:$S$26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2000</c:v>
                      </c:pt>
                      <c:pt idx="1">
                        <c:v>2001</c:v>
                      </c:pt>
                      <c:pt idx="2">
                        <c:v>2002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Aurora!$Q$28:$S$28</c15:sqref>
                        </c15:formulaRef>
                      </c:ext>
                    </c:extLst>
                    <c:numCache>
                      <c:formatCode>0</c:formatCode>
                      <c:ptCount val="3"/>
                      <c:pt idx="0">
                        <c:v>23</c:v>
                      </c:pt>
                      <c:pt idx="1">
                        <c:v>32</c:v>
                      </c:pt>
                      <c:pt idx="2">
                        <c:v>57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6777-41D0-9E30-EA0789879674}"/>
                  </c:ext>
                </c:extLst>
              </c15:ser>
            </c15:filteredLineSeries>
          </c:ext>
        </c:extLst>
      </c:lineChart>
      <c:catAx>
        <c:axId val="313514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515272"/>
        <c:crosses val="autoZero"/>
        <c:auto val="1"/>
        <c:lblAlgn val="ctr"/>
        <c:lblOffset val="100"/>
        <c:noMultiLvlLbl val="0"/>
      </c:catAx>
      <c:valAx>
        <c:axId val="313515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514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Accounts Receivable</a:t>
            </a:r>
          </a:p>
          <a:p>
            <a:pPr>
              <a:defRPr/>
            </a:pPr>
            <a:r>
              <a:rPr lang="en-US" sz="1200"/>
              <a:t>% to Total Assets</a:t>
            </a:r>
          </a:p>
        </c:rich>
      </c:tx>
      <c:layout>
        <c:manualLayout>
          <c:xMode val="edge"/>
          <c:yMode val="edge"/>
          <c:x val="0.23700678040244968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Accounts Receivable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6.2729710432293154E-2"/>
                  <c:y val="-7.8703703703703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45B-4A46-8983-F9FA6A65A769}"/>
                </c:ext>
              </c:extLst>
            </c:dLbl>
            <c:dLbl>
              <c:idx val="1"/>
              <c:layout>
                <c:manualLayout>
                  <c:x val="-6.2729710432293154E-2"/>
                  <c:y val="-0.1018518518518518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45B-4A46-8983-F9FA6A65A769}"/>
                </c:ext>
              </c:extLst>
            </c:dLbl>
            <c:dLbl>
              <c:idx val="2"/>
              <c:layout>
                <c:manualLayout>
                  <c:x val="-9.0566227579872094E-2"/>
                  <c:y val="-7.40740740740740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45B-4A46-8983-F9FA6A65A769}"/>
                </c:ext>
              </c:extLst>
            </c:dLbl>
            <c:dLbl>
              <c:idx val="3"/>
              <c:layout>
                <c:manualLayout>
                  <c:x val="-8.4566978194618017E-2"/>
                  <c:y val="-6.018518518518518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45B-4A46-8983-F9FA6A65A76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('BS 1999-2002'!$E$6,'BS 1999-2002'!$G$6,'BS 1999-2002'!$I$6,'BS 1999-2002'!$K$6)</c:f>
              <c:numCache>
                <c:formatCode>General</c:formatCode>
                <c:ptCount val="4"/>
                <c:pt idx="0" formatCode="_(* #,##0_);_(* \(#,##0\);_(* &quot;-&quot;??_);_(@_)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('BS 1999-2002'!$F$9,'BS 1999-2002'!$H$9,'BS 1999-2002'!$J$9,'BS 1999-2002'!$L$9)</c:f>
              <c:numCache>
                <c:formatCode>0.0%</c:formatCode>
                <c:ptCount val="4"/>
                <c:pt idx="0">
                  <c:v>9.6789875115246005E-2</c:v>
                </c:pt>
                <c:pt idx="1">
                  <c:v>7.0732003153617565E-2</c:v>
                </c:pt>
                <c:pt idx="2">
                  <c:v>0.14256448263565999</c:v>
                </c:pt>
                <c:pt idx="3">
                  <c:v>0.19168915590002281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45B-4A46-8983-F9FA6A65A76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95371744"/>
        <c:axId val="495363544"/>
      </c:lineChart>
      <c:catAx>
        <c:axId val="495371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363544"/>
        <c:crosses val="autoZero"/>
        <c:auto val="1"/>
        <c:lblAlgn val="ctr"/>
        <c:lblOffset val="100"/>
        <c:noMultiLvlLbl val="0"/>
      </c:catAx>
      <c:valAx>
        <c:axId val="495363544"/>
        <c:scaling>
          <c:orientation val="minMax"/>
        </c:scaling>
        <c:delete val="0"/>
        <c:axPos val="l"/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371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span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Retained Earnings</a:t>
            </a:r>
          </a:p>
          <a:p>
            <a:pPr>
              <a:defRPr/>
            </a:pPr>
            <a:r>
              <a:rPr lang="en-US" sz="1100"/>
              <a:t>% to Total Liabilities and Shareholders' Equity</a:t>
            </a:r>
          </a:p>
        </c:rich>
      </c:tx>
      <c:layout>
        <c:manualLayout>
          <c:xMode val="edge"/>
          <c:yMode val="edge"/>
          <c:x val="0.14534711286089239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Retained Earnings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('BS 1999-2002'!$E$6,'BS 1999-2002'!$G$6,'BS 1999-2002'!$I$6,'BS 1999-2002'!$K$6)</c:f>
              <c:numCache>
                <c:formatCode>General</c:formatCode>
                <c:ptCount val="4"/>
                <c:pt idx="0" formatCode="_(* #,##0_);_(* \(#,##0\);_(* &quot;-&quot;??_);_(@_)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('BS 1999-2002'!$F$39,'BS 1999-2002'!$H$39,'BS 1999-2002'!$J$39,'BS 1999-2002'!$L$39)</c:f>
              <c:numCache>
                <c:formatCode>0.0%</c:formatCode>
                <c:ptCount val="4"/>
                <c:pt idx="0">
                  <c:v>0.31393847959098148</c:v>
                </c:pt>
                <c:pt idx="1">
                  <c:v>0.30293529019346233</c:v>
                </c:pt>
                <c:pt idx="2">
                  <c:v>0.27159967277990255</c:v>
                </c:pt>
                <c:pt idx="3">
                  <c:v>0.23402283974674795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54-4149-B4EE-3896364ED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4257400"/>
        <c:axId val="394258056"/>
      </c:lineChart>
      <c:catAx>
        <c:axId val="394257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258056"/>
        <c:crosses val="autoZero"/>
        <c:auto val="1"/>
        <c:lblAlgn val="ctr"/>
        <c:lblOffset val="100"/>
        <c:noMultiLvlLbl val="0"/>
      </c:catAx>
      <c:valAx>
        <c:axId val="394258056"/>
        <c:scaling>
          <c:orientation val="minMax"/>
        </c:scaling>
        <c:delete val="0"/>
        <c:axPos val="l"/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257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span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Current Assets vs Total Assets</a:t>
            </a:r>
          </a:p>
          <a:p>
            <a:pPr>
              <a:defRPr/>
            </a:pPr>
            <a:r>
              <a:rPr lang="en-US" sz="1200"/>
              <a:t>1999 - 2002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Current Assets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('BS 1999-2002'!$E$6,'BS 1999-2002'!$G$6,'BS 1999-2002'!$I$6,'BS 1999-2002'!$K$6)</c:f>
              <c:numCache>
                <c:formatCode>General</c:formatCode>
                <c:ptCount val="4"/>
                <c:pt idx="0" formatCode="_(* #,##0_);_(* \(#,##0\);_(* &quot;-&quot;??_);_(@_)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('BS 1999-2002'!$E$12,'BS 1999-2002'!$G$12,'BS 1999-2002'!$I$12,'BS 1999-2002'!$K$12)</c:f>
              <c:numCache>
                <c:formatCode>_(* #,##0_);_(* \(#,##0\);_(* "-"_);_(@_)</c:formatCode>
                <c:ptCount val="4"/>
                <c:pt idx="0">
                  <c:v>56018</c:v>
                </c:pt>
                <c:pt idx="1">
                  <c:v>52247</c:v>
                </c:pt>
                <c:pt idx="2">
                  <c:v>54608</c:v>
                </c:pt>
                <c:pt idx="3">
                  <c:v>63697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45-4C5D-9F7C-4AA0A2E6FA3C}"/>
            </c:ext>
          </c:extLst>
        </c:ser>
        <c:ser>
          <c:idx val="1"/>
          <c:order val="1"/>
          <c:tx>
            <c:v>Total Assets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('BS 1999-2002'!$E$6,'BS 1999-2002'!$G$6,'BS 1999-2002'!$I$6,'BS 1999-2002'!$K$6)</c:f>
              <c:numCache>
                <c:formatCode>General</c:formatCode>
                <c:ptCount val="4"/>
                <c:pt idx="0" formatCode="_(* #,##0_);_(* \(#,##0\);_(* &quot;-&quot;??_);_(@_)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('BS 1999-2002'!$E$23,'BS 1999-2002'!$G$23,'BS 1999-2002'!$I$23,'BS 1999-2002'!$K$23)</c:f>
              <c:numCache>
                <c:formatCode>_(* #,##0_);_(* \(#,##0\);_(* "-"_);_(@_)</c:formatCode>
                <c:ptCount val="4"/>
                <c:pt idx="0">
                  <c:v>178965</c:v>
                </c:pt>
                <c:pt idx="1">
                  <c:v>164890</c:v>
                </c:pt>
                <c:pt idx="2">
                  <c:v>143023</c:v>
                </c:pt>
                <c:pt idx="3">
                  <c:v>135991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45-4C5D-9F7C-4AA0A2E6F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673392"/>
        <c:axId val="548673720"/>
      </c:lineChart>
      <c:catAx>
        <c:axId val="548673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673720"/>
        <c:crosses val="autoZero"/>
        <c:auto val="1"/>
        <c:lblAlgn val="ctr"/>
        <c:lblOffset val="100"/>
        <c:noMultiLvlLbl val="0"/>
      </c:catAx>
      <c:valAx>
        <c:axId val="548673720"/>
        <c:scaling>
          <c:orientation val="minMax"/>
        </c:scaling>
        <c:delete val="0"/>
        <c:axPos val="l"/>
        <c:numFmt formatCode="_(* #,##0_);_(* \(#,##0\);_(* &quot;-&quot;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673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3697</TotalTime>
  <Pages>7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Trotter</dc:creator>
  <cp:keywords/>
  <dc:description/>
  <cp:lastModifiedBy>Tony Trotter</cp:lastModifiedBy>
  <cp:revision>152</cp:revision>
  <cp:lastPrinted>2021-03-05T17:39:00Z</cp:lastPrinted>
  <dcterms:created xsi:type="dcterms:W3CDTF">2021-02-18T18:10:00Z</dcterms:created>
  <dcterms:modified xsi:type="dcterms:W3CDTF">2021-03-06T02:52:00Z</dcterms:modified>
</cp:coreProperties>
</file>