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4057395"/>
        <w:docPartObj>
          <w:docPartGallery w:val="Cover Pages"/>
          <w:docPartUnique/>
        </w:docPartObj>
      </w:sdtPr>
      <w:sdtEndPr/>
      <w:sdtContent>
        <w:p w14:paraId="4E53266A" w14:textId="46843E3F" w:rsidR="002D42B3" w:rsidRDefault="002D42B3" w:rsidP="00F10D39">
          <w:pPr>
            <w:spacing w:line="240" w:lineRule="auto"/>
            <w:ind w:left="-720" w:right="-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6620F3" wp14:editId="6C0AE32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48"/>
                                  <w:gridCol w:w="2622"/>
                                </w:tblGrid>
                                <w:tr w:rsidR="002D42B3" w14:paraId="705BE6D6" w14:textId="77777777" w:rsidTr="0042697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12" w:space="0" w:color="auto"/>
                                      </w:tcBorders>
                                      <w:vAlign w:val="center"/>
                                    </w:tcPr>
                                    <w:p w14:paraId="7759477F" w14:textId="2F01595B" w:rsidR="002D42B3" w:rsidRDefault="002D42B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1CDD019" wp14:editId="54FB43C7">
                                            <wp:extent cx="2176861" cy="564431"/>
                                            <wp:effectExtent l="0" t="0" r="0" b="7620"/>
                                            <wp:docPr id="1" name="Picture 6">
                                              <a:extLst xmlns:a="http://schemas.openxmlformats.org/drawingml/2006/main">
                                                <a:ext uri="{FF2B5EF4-FFF2-40B4-BE49-F238E27FC236}">
                                                  <a16:creationId xmlns:a16="http://schemas.microsoft.com/office/drawing/2014/main" id="{00000000-0008-0000-0500-00002B5C0000}"/>
                                                </a:ext>
                                              </a:extLst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3595" name="Picture 6">
                                                      <a:extLst>
                                                        <a:ext uri="{FF2B5EF4-FFF2-40B4-BE49-F238E27FC236}">
                                                          <a16:creationId xmlns:a16="http://schemas.microsoft.com/office/drawing/2014/main" id="{00000000-0008-0000-0500-00002B5C0000}"/>
                                                        </a:ext>
                                                      </a:extLst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409665" cy="6247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 Black" w:hAnsi="Arial Black"/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718B9A4" w14:textId="72E66575" w:rsidR="002D42B3" w:rsidRPr="00DE7DE8" w:rsidRDefault="002D42B3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Arial Black" w:hAnsi="Arial Black"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DE7DE8">
                                            <w:rPr>
                                              <w:rFonts w:ascii="Arial Black" w:hAnsi="Arial Black"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>Case Study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A968EA3" w14:textId="5D83EC89" w:rsidR="002D42B3" w:rsidRDefault="002D42B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12" w:space="0" w:color="auto"/>
                                      </w:tcBorders>
                                      <w:vAlign w:val="center"/>
                                    </w:tcPr>
                                    <w:p w14:paraId="3AEE7DBC" w14:textId="77777777" w:rsidR="002D42B3" w:rsidRDefault="002D42B3" w:rsidP="002D42B3">
                                      <w:pPr>
                                        <w:spacing w:after="0"/>
                                        <w:ind w:left="30" w:right="75"/>
                                        <w:jc w:val="both"/>
                                        <w:rPr>
                                          <w:rFonts w:ascii="Georgia" w:hAnsi="Georgia"/>
                                          <w:color w:val="181818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 w:rsidRPr="005243F6">
                                        <w:rPr>
                                          <w:rFonts w:ascii="Georgia" w:hAnsi="Georgia"/>
                                          <w:color w:val="181818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“People in both fields operate with beliefs and biases. To the extent you can eliminate both and replace them with data, you gain a clear advantage.”</w:t>
                                      </w:r>
                                    </w:p>
                                    <w:p w14:paraId="588FD8BD" w14:textId="5515A883" w:rsidR="002D42B3" w:rsidRDefault="002D42B3" w:rsidP="002D42B3">
                                      <w:pPr>
                                        <w:ind w:left="30" w:right="75"/>
                                        <w:jc w:val="both"/>
                                      </w:pPr>
                                      <w:r>
                                        <w:rPr>
                                          <w:rFonts w:ascii="Georgia" w:hAnsi="Georgia"/>
                                          <w:color w:val="181818"/>
                                          <w:sz w:val="21"/>
                                          <w:szCs w:val="21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rFonts w:ascii="Georgia" w:hAnsi="Georgia"/>
                                          <w:color w:val="181818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w:t>― </w:t>
                                      </w:r>
                                      <w:r>
                                        <w:rPr>
                                          <w:rStyle w:val="authorortitle"/>
                                          <w:rFonts w:ascii="Helvetica" w:hAnsi="Helvetica" w:cs="Helvetica"/>
                                          <w:b/>
                                          <w:bCs/>
                                          <w:color w:val="333333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w:t>Michael Lewis, </w:t>
                                      </w:r>
                                      <w:hyperlink r:id="rId8" w:history="1">
                                        <w:r>
                                          <w:rPr>
                                            <w:rStyle w:val="Hyperlink"/>
                                            <w:rFonts w:ascii="Helvetica" w:hAnsi="Helvetica" w:cs="Helvetica"/>
                                            <w:b/>
                                            <w:bCs/>
                                            <w:color w:val="333333"/>
                                            <w:sz w:val="21"/>
                                            <w:szCs w:val="21"/>
                                            <w:u w:val="none"/>
                                            <w:shd w:val="clear" w:color="auto" w:fill="FFFFFF"/>
                                          </w:rPr>
                                          <w:t>Moneyball: The Art of Winning an Unfair Game</w:t>
                                        </w:r>
                                      </w:hyperlink>
                                    </w:p>
                                    <w:p w14:paraId="283ADEC1" w14:textId="69AE235F" w:rsidR="002D42B3" w:rsidRDefault="002D42B3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Copperplate Gothic Bold" w:hAnsi="Copperplate Gothic Bold" w:cstheme="minorHAnsi"/>
                                          <w:color w:val="262626" w:themeColor="text1" w:themeTint="D9"/>
                                          <w:sz w:val="36"/>
                                          <w:szCs w:val="3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5804A28" w14:textId="092A4E35" w:rsidR="002D42B3" w:rsidRDefault="002D42B3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DE7DE8">
                                            <w:rPr>
                                              <w:rFonts w:ascii="Copperplate Gothic Bold" w:hAnsi="Copperplate Gothic Bold" w:cstheme="minorHAnsi"/>
                                              <w:color w:val="262626" w:themeColor="text1" w:themeTint="D9"/>
                                              <w:sz w:val="36"/>
                                              <w:szCs w:val="36"/>
                                            </w:rPr>
                                            <w:t>Tony Trotter</w:t>
                                          </w:r>
                                        </w:p>
                                      </w:sdtContent>
                                    </w:sdt>
                                    <w:p w14:paraId="55A9DBA3" w14:textId="21191551" w:rsidR="002D42B3" w:rsidRDefault="002C33C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262626" w:themeColor="text1" w:themeTint="D9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D42B3" w:rsidRPr="002D42B3">
                                            <w:rPr>
                                              <w:color w:val="262626" w:themeColor="text1" w:themeTint="D9"/>
                                            </w:rPr>
                                            <w:t>Finance 6220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0B38BCB" w14:textId="77777777" w:rsidR="002D42B3" w:rsidRDefault="002D42B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F6620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148"/>
                            <w:gridCol w:w="2622"/>
                          </w:tblGrid>
                          <w:tr w:rsidR="002D42B3" w14:paraId="705BE6D6" w14:textId="77777777" w:rsidTr="0042697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759477F" w14:textId="2F01595B" w:rsidR="002D42B3" w:rsidRDefault="002D42B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CDD019" wp14:editId="54FB43C7">
                                      <wp:extent cx="2176861" cy="564431"/>
                                      <wp:effectExtent l="0" t="0" r="0" b="7620"/>
                                      <wp:docPr id="1" name="Picture 6">
                                        <a:extLst xmlns:a="http://schemas.openxmlformats.org/drawingml/2006/main">
                                          <a:ext uri="{FF2B5EF4-FFF2-40B4-BE49-F238E27FC236}">
                                            <a16:creationId xmlns:a16="http://schemas.microsoft.com/office/drawing/2014/main" id="{00000000-0008-0000-0500-00002B5C0000}"/>
                                          </a:ext>
                                        </a:extLst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3595" name="Picture 6">
                                                <a:extLst>
                                                  <a:ext uri="{FF2B5EF4-FFF2-40B4-BE49-F238E27FC236}">
                                                    <a16:creationId xmlns:a16="http://schemas.microsoft.com/office/drawing/2014/main" id="{00000000-0008-0000-0500-00002B5C0000}"/>
                                                  </a:ext>
                                                </a:extLst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9665" cy="6247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18B9A4" w14:textId="72E66575" w:rsidR="002D42B3" w:rsidRPr="00DE7DE8" w:rsidRDefault="002D42B3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Arial Black" w:hAnsi="Arial Black"/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</w:pPr>
                                    <w:r w:rsidRPr="00DE7DE8">
                                      <w:rPr>
                                        <w:rFonts w:ascii="Arial Black" w:hAnsi="Arial Black"/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>Case Study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968EA3" w14:textId="5D83EC89" w:rsidR="002D42B3" w:rsidRDefault="002D42B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3AEE7DBC" w14:textId="77777777" w:rsidR="002D42B3" w:rsidRDefault="002D42B3" w:rsidP="002D42B3">
                                <w:pPr>
                                  <w:spacing w:after="0"/>
                                  <w:ind w:left="30" w:right="75"/>
                                  <w:jc w:val="both"/>
                                  <w:rPr>
                                    <w:rFonts w:ascii="Georgia" w:hAnsi="Georgia"/>
                                    <w:color w:val="181818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5243F6">
                                  <w:rPr>
                                    <w:rFonts w:ascii="Georgia" w:hAnsi="Georgia"/>
                                    <w:color w:val="181818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“People in both fields operate with beliefs and biases. To the extent you can eliminate both and replace them with data, you gain a clear advantage.”</w:t>
                                </w:r>
                              </w:p>
                              <w:p w14:paraId="588FD8BD" w14:textId="5515A883" w:rsidR="002D42B3" w:rsidRDefault="002D42B3" w:rsidP="002D42B3">
                                <w:pPr>
                                  <w:ind w:left="30" w:right="75"/>
                                  <w:jc w:val="both"/>
                                </w:pPr>
                                <w:r>
                                  <w:rPr>
                                    <w:rFonts w:ascii="Georgia" w:hAnsi="Georgia"/>
                                    <w:color w:val="181818"/>
                                    <w:sz w:val="21"/>
                                    <w:szCs w:val="21"/>
                                  </w:rPr>
                                  <w:br/>
                                </w:r>
                                <w:r>
                                  <w:rPr>
                                    <w:rFonts w:ascii="Georgia" w:hAnsi="Georgia"/>
                                    <w:color w:val="181818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― </w:t>
                                </w:r>
                                <w:r>
                                  <w:rPr>
                                    <w:rStyle w:val="authorortitle"/>
                                    <w:rFonts w:ascii="Helvetica" w:hAnsi="Helvetica" w:cs="Helvetica"/>
                                    <w:b/>
                                    <w:bCs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Michael Lewis, </w:t>
                                </w:r>
                                <w:hyperlink r:id="rId9" w:history="1">
                                  <w:r>
                                    <w:rPr>
                                      <w:rStyle w:val="Hyperlink"/>
                                      <w:rFonts w:ascii="Helvetica" w:hAnsi="Helvetica" w:cs="Helvetica"/>
                                      <w:b/>
                                      <w:bCs/>
                                      <w:color w:val="333333"/>
                                      <w:sz w:val="21"/>
                                      <w:szCs w:val="21"/>
                                      <w:u w:val="none"/>
                                      <w:shd w:val="clear" w:color="auto" w:fill="FFFFFF"/>
                                    </w:rPr>
                                    <w:t>Moneyball: The Art of Winning an Unfair Game</w:t>
                                  </w:r>
                                </w:hyperlink>
                              </w:p>
                              <w:p w14:paraId="283ADEC1" w14:textId="69AE235F" w:rsidR="002D42B3" w:rsidRDefault="002D42B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Copperplate Gothic Bold" w:hAnsi="Copperplate Gothic Bold" w:cstheme="minorHAns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804A28" w14:textId="092A4E35" w:rsidR="002D42B3" w:rsidRDefault="002D42B3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DE7DE8">
                                      <w:rPr>
                                        <w:rFonts w:ascii="Copperplate Gothic Bold" w:hAnsi="Copperplate Gothic Bold" w:cstheme="minorHAns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Tony Trotter</w:t>
                                    </w:r>
                                  </w:p>
                                </w:sdtContent>
                              </w:sdt>
                              <w:p w14:paraId="55A9DBA3" w14:textId="21191551" w:rsidR="002D42B3" w:rsidRDefault="002C33C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42B3" w:rsidRPr="002D42B3">
                                      <w:rPr>
                                        <w:color w:val="262626" w:themeColor="text1" w:themeTint="D9"/>
                                      </w:rPr>
                                      <w:t>Finance 6220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0B38BCB" w14:textId="77777777" w:rsidR="002D42B3" w:rsidRDefault="002D42B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D7DBD23" w14:textId="42BD9A4C" w:rsidR="00257F34" w:rsidRPr="00F10D39" w:rsidRDefault="0098267E" w:rsidP="00F10D39">
      <w:pPr>
        <w:spacing w:line="240" w:lineRule="auto"/>
        <w:ind w:left="-720" w:right="-720"/>
        <w:jc w:val="both"/>
        <w:rPr>
          <w:sz w:val="20"/>
          <w:szCs w:val="20"/>
        </w:rPr>
      </w:pPr>
      <w:r w:rsidRPr="00F10D39">
        <w:rPr>
          <w:sz w:val="20"/>
          <w:szCs w:val="20"/>
        </w:rPr>
        <w:lastRenderedPageBreak/>
        <w:t xml:space="preserve">1. </w:t>
      </w:r>
      <w:r w:rsidR="005642AA" w:rsidRPr="00F10D39">
        <w:rPr>
          <w:sz w:val="20"/>
          <w:szCs w:val="20"/>
        </w:rPr>
        <w:t xml:space="preserve">My analysis concludes that the capital budgeting process </w:t>
      </w:r>
      <w:r w:rsidR="005642AA" w:rsidRPr="00F10D39">
        <w:rPr>
          <w:i/>
          <w:iCs/>
          <w:sz w:val="20"/>
          <w:szCs w:val="20"/>
        </w:rPr>
        <w:t>does</w:t>
      </w:r>
      <w:r w:rsidR="005642AA" w:rsidRPr="00F10D39">
        <w:rPr>
          <w:sz w:val="20"/>
          <w:szCs w:val="20"/>
        </w:rPr>
        <w:t xml:space="preserve"> support Target’s strategy</w:t>
      </w:r>
      <w:r w:rsidR="0017284A" w:rsidRPr="00F10D39">
        <w:rPr>
          <w:sz w:val="20"/>
          <w:szCs w:val="20"/>
        </w:rPr>
        <w:t xml:space="preserve"> of “opening approximately 100 new stores a year while maintaining a positive brand image.”  </w:t>
      </w:r>
      <w:r w:rsidR="003636C0" w:rsidRPr="00F10D39">
        <w:rPr>
          <w:sz w:val="20"/>
          <w:szCs w:val="20"/>
        </w:rPr>
        <w:t>As evidence of this, I would point to the fact that five of the ten top executive</w:t>
      </w:r>
      <w:r w:rsidR="008C1F8A" w:rsidRPr="00F10D39">
        <w:rPr>
          <w:sz w:val="20"/>
          <w:szCs w:val="20"/>
        </w:rPr>
        <w:t>s</w:t>
      </w:r>
      <w:r w:rsidR="003636C0" w:rsidRPr="00F10D39">
        <w:rPr>
          <w:sz w:val="20"/>
          <w:szCs w:val="20"/>
        </w:rPr>
        <w:t xml:space="preserve"> </w:t>
      </w:r>
      <w:r w:rsidR="008C1F8A" w:rsidRPr="00F10D39">
        <w:rPr>
          <w:sz w:val="20"/>
          <w:szCs w:val="20"/>
        </w:rPr>
        <w:t xml:space="preserve">of </w:t>
      </w:r>
      <w:r w:rsidR="003636C0" w:rsidRPr="00F10D39">
        <w:rPr>
          <w:sz w:val="20"/>
          <w:szCs w:val="20"/>
        </w:rPr>
        <w:t>Target are members of the CEC including the Chairman and CEO, the President, and the CFO.  This indicates an alignment of interests within</w:t>
      </w:r>
      <w:r w:rsidR="0086710B">
        <w:rPr>
          <w:sz w:val="20"/>
          <w:szCs w:val="20"/>
        </w:rPr>
        <w:t xml:space="preserve"> Target’s</w:t>
      </w:r>
      <w:r w:rsidR="003636C0" w:rsidRPr="00F10D39">
        <w:rPr>
          <w:sz w:val="20"/>
          <w:szCs w:val="20"/>
        </w:rPr>
        <w:t xml:space="preserve"> upper management and the capital budgeting process overseen by the CEC.  </w:t>
      </w:r>
      <w:r w:rsidR="0086710B">
        <w:rPr>
          <w:sz w:val="20"/>
          <w:szCs w:val="20"/>
        </w:rPr>
        <w:t>Additionally, t</w:t>
      </w:r>
      <w:r w:rsidR="008C1F8A" w:rsidRPr="00F10D39">
        <w:rPr>
          <w:sz w:val="20"/>
          <w:szCs w:val="20"/>
        </w:rPr>
        <w:t>he frequency of CEC</w:t>
      </w:r>
      <w:r w:rsidR="003636C0" w:rsidRPr="00F10D39">
        <w:rPr>
          <w:sz w:val="20"/>
          <w:szCs w:val="20"/>
        </w:rPr>
        <w:t xml:space="preserve"> meetings </w:t>
      </w:r>
      <w:r w:rsidR="008C1F8A" w:rsidRPr="00F10D39">
        <w:rPr>
          <w:sz w:val="20"/>
          <w:szCs w:val="20"/>
        </w:rPr>
        <w:t xml:space="preserve">is an evidence of the importance placed on the duties of the CEC by </w:t>
      </w:r>
      <w:r w:rsidR="00836B5B" w:rsidRPr="00F10D39">
        <w:rPr>
          <w:sz w:val="20"/>
          <w:szCs w:val="20"/>
        </w:rPr>
        <w:t>upper management</w:t>
      </w:r>
      <w:r w:rsidR="008C1F8A" w:rsidRPr="00F10D39">
        <w:rPr>
          <w:sz w:val="20"/>
          <w:szCs w:val="20"/>
        </w:rPr>
        <w:t>.</w:t>
      </w:r>
    </w:p>
    <w:p w14:paraId="425B28B0" w14:textId="335A3264" w:rsidR="00A97ED3" w:rsidRDefault="006C00FB" w:rsidP="00F10D39">
      <w:pPr>
        <w:spacing w:after="0" w:line="240" w:lineRule="auto"/>
        <w:ind w:left="-720" w:right="-72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3991A2" wp14:editId="7FC0A8F9">
            <wp:simplePos x="0" y="0"/>
            <wp:positionH relativeFrom="column">
              <wp:posOffset>1819275</wp:posOffset>
            </wp:positionH>
            <wp:positionV relativeFrom="paragraph">
              <wp:posOffset>77470</wp:posOffset>
            </wp:positionV>
            <wp:extent cx="4512310" cy="1268730"/>
            <wp:effectExtent l="76200" t="76200" r="135890" b="140970"/>
            <wp:wrapTight wrapText="bothSides">
              <wp:wrapPolygon edited="0">
                <wp:start x="-182" y="-1297"/>
                <wp:lineTo x="-365" y="-973"/>
                <wp:lineTo x="-365" y="22378"/>
                <wp:lineTo x="-182" y="23676"/>
                <wp:lineTo x="21977" y="23676"/>
                <wp:lineTo x="22159" y="20108"/>
                <wp:lineTo x="22159" y="4216"/>
                <wp:lineTo x="21977" y="-649"/>
                <wp:lineTo x="21977" y="-1297"/>
                <wp:lineTo x="-182" y="-129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1268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7E7">
        <w:rPr>
          <w:sz w:val="20"/>
          <w:szCs w:val="20"/>
        </w:rPr>
        <w:t>Also</w:t>
      </w:r>
      <w:r w:rsidR="008C1F8A" w:rsidRPr="00F10D39">
        <w:rPr>
          <w:sz w:val="20"/>
          <w:szCs w:val="20"/>
        </w:rPr>
        <w:t>, i</w:t>
      </w:r>
      <w:r w:rsidR="00A97ED3" w:rsidRPr="00F10D39">
        <w:rPr>
          <w:sz w:val="20"/>
          <w:szCs w:val="20"/>
        </w:rPr>
        <w:t xml:space="preserve">n </w:t>
      </w:r>
      <w:r w:rsidR="00502989" w:rsidRPr="00F10D39">
        <w:rPr>
          <w:sz w:val="20"/>
          <w:szCs w:val="20"/>
        </w:rPr>
        <w:t xml:space="preserve">determining the suitability of the various </w:t>
      </w:r>
      <w:r w:rsidR="00A97ED3" w:rsidRPr="00F10D39">
        <w:rPr>
          <w:sz w:val="20"/>
          <w:szCs w:val="20"/>
        </w:rPr>
        <w:t>projects</w:t>
      </w:r>
      <w:r w:rsidR="00502989" w:rsidRPr="00F10D39">
        <w:rPr>
          <w:sz w:val="20"/>
          <w:szCs w:val="20"/>
        </w:rPr>
        <w:t xml:space="preserve"> that are brought before</w:t>
      </w:r>
      <w:r w:rsidR="00632536" w:rsidRPr="00F10D39">
        <w:rPr>
          <w:sz w:val="20"/>
          <w:szCs w:val="20"/>
        </w:rPr>
        <w:t xml:space="preserve"> </w:t>
      </w:r>
      <w:r w:rsidR="00502989" w:rsidRPr="00F10D39">
        <w:rPr>
          <w:sz w:val="20"/>
          <w:szCs w:val="20"/>
        </w:rPr>
        <w:t>the CEC</w:t>
      </w:r>
      <w:r w:rsidR="00632536" w:rsidRPr="00F10D39">
        <w:rPr>
          <w:sz w:val="20"/>
          <w:szCs w:val="20"/>
        </w:rPr>
        <w:t xml:space="preserve">, </w:t>
      </w:r>
      <w:r w:rsidR="00413CC1" w:rsidRPr="00F10D39">
        <w:rPr>
          <w:sz w:val="20"/>
          <w:szCs w:val="20"/>
        </w:rPr>
        <w:t>it is</w:t>
      </w:r>
      <w:r w:rsidR="00502989" w:rsidRPr="00F10D39">
        <w:rPr>
          <w:sz w:val="20"/>
          <w:szCs w:val="20"/>
        </w:rPr>
        <w:t xml:space="preserve"> require</w:t>
      </w:r>
      <w:r w:rsidR="00413CC1" w:rsidRPr="00F10D39">
        <w:rPr>
          <w:sz w:val="20"/>
          <w:szCs w:val="20"/>
        </w:rPr>
        <w:t>d</w:t>
      </w:r>
      <w:r w:rsidR="00502989" w:rsidRPr="00F10D39">
        <w:rPr>
          <w:sz w:val="20"/>
          <w:szCs w:val="20"/>
        </w:rPr>
        <w:t xml:space="preserve"> that projects </w:t>
      </w:r>
      <w:r w:rsidR="00A97ED3" w:rsidRPr="00F10D39">
        <w:rPr>
          <w:sz w:val="20"/>
          <w:szCs w:val="20"/>
        </w:rPr>
        <w:t xml:space="preserve">meet a variety of financial objectives, </w:t>
      </w:r>
      <w:r w:rsidR="00502989" w:rsidRPr="00F10D39">
        <w:rPr>
          <w:sz w:val="20"/>
          <w:szCs w:val="20"/>
        </w:rPr>
        <w:t xml:space="preserve">including but not limited to </w:t>
      </w:r>
      <w:r w:rsidR="00A97ED3" w:rsidRPr="00F10D39">
        <w:rPr>
          <w:sz w:val="20"/>
          <w:szCs w:val="20"/>
        </w:rPr>
        <w:t>discounted cash-flow metrics and other financial considerations</w:t>
      </w:r>
      <w:r w:rsidR="00A745CD" w:rsidRPr="00F10D39">
        <w:rPr>
          <w:sz w:val="20"/>
          <w:szCs w:val="20"/>
        </w:rPr>
        <w:t xml:space="preserve"> as listed in the </w:t>
      </w:r>
      <w:r w:rsidR="00436263">
        <w:rPr>
          <w:sz w:val="20"/>
          <w:szCs w:val="20"/>
        </w:rPr>
        <w:t>table to the right</w:t>
      </w:r>
      <w:r w:rsidR="00A745CD" w:rsidRPr="00F10D39">
        <w:rPr>
          <w:sz w:val="20"/>
          <w:szCs w:val="20"/>
        </w:rPr>
        <w:t>:</w:t>
      </w:r>
    </w:p>
    <w:p w14:paraId="2048086B" w14:textId="7B2C4F38" w:rsidR="00B644D0" w:rsidRDefault="00B644D0" w:rsidP="00123510">
      <w:pPr>
        <w:spacing w:after="0" w:line="240" w:lineRule="auto"/>
        <w:ind w:left="-720" w:right="-720"/>
        <w:jc w:val="center"/>
        <w:rPr>
          <w:sz w:val="20"/>
          <w:szCs w:val="20"/>
        </w:rPr>
      </w:pPr>
    </w:p>
    <w:p w14:paraId="3A24057C" w14:textId="327E5198" w:rsidR="00521358" w:rsidRPr="00F10D39" w:rsidRDefault="00C90389" w:rsidP="00F10D39">
      <w:pPr>
        <w:spacing w:line="240" w:lineRule="auto"/>
        <w:ind w:left="-720" w:right="-720"/>
        <w:jc w:val="both"/>
        <w:rPr>
          <w:sz w:val="20"/>
          <w:szCs w:val="20"/>
        </w:rPr>
      </w:pPr>
      <w:r w:rsidRPr="00F10D39">
        <w:rPr>
          <w:sz w:val="20"/>
          <w:szCs w:val="20"/>
        </w:rPr>
        <w:t xml:space="preserve">The problem is that Target’s strategy should </w:t>
      </w:r>
      <w:r w:rsidR="00436263">
        <w:rPr>
          <w:sz w:val="20"/>
          <w:szCs w:val="20"/>
        </w:rPr>
        <w:t xml:space="preserve">explicitly </w:t>
      </w:r>
      <w:r w:rsidRPr="00F10D39">
        <w:rPr>
          <w:sz w:val="20"/>
          <w:szCs w:val="20"/>
        </w:rPr>
        <w:t xml:space="preserve">be focused on </w:t>
      </w:r>
      <w:r w:rsidR="002708A5" w:rsidRPr="00F10D39">
        <w:rPr>
          <w:sz w:val="20"/>
          <w:szCs w:val="20"/>
        </w:rPr>
        <w:t>increasing</w:t>
      </w:r>
      <w:r w:rsidRPr="00F10D39">
        <w:rPr>
          <w:sz w:val="20"/>
          <w:szCs w:val="20"/>
        </w:rPr>
        <w:t xml:space="preserve"> shareholder </w:t>
      </w:r>
      <w:r w:rsidR="002708A5" w:rsidRPr="00F10D39">
        <w:rPr>
          <w:sz w:val="20"/>
          <w:szCs w:val="20"/>
        </w:rPr>
        <w:t>wealth</w:t>
      </w:r>
      <w:r w:rsidRPr="00F10D39">
        <w:rPr>
          <w:sz w:val="20"/>
          <w:szCs w:val="20"/>
        </w:rPr>
        <w:t xml:space="preserve"> instead of</w:t>
      </w:r>
      <w:r w:rsidR="00B51DA9">
        <w:rPr>
          <w:sz w:val="20"/>
          <w:szCs w:val="20"/>
        </w:rPr>
        <w:t xml:space="preserve"> just</w:t>
      </w:r>
      <w:r w:rsidRPr="00F10D39">
        <w:rPr>
          <w:sz w:val="20"/>
          <w:szCs w:val="20"/>
        </w:rPr>
        <w:t xml:space="preserve"> growth and brand image.  This causes </w:t>
      </w:r>
      <w:r w:rsidR="00E41F81">
        <w:rPr>
          <w:sz w:val="20"/>
          <w:szCs w:val="20"/>
        </w:rPr>
        <w:t xml:space="preserve">instances where pursuing growth </w:t>
      </w:r>
      <w:r w:rsidR="00B51DA9">
        <w:rPr>
          <w:sz w:val="20"/>
          <w:szCs w:val="20"/>
        </w:rPr>
        <w:t xml:space="preserve">may </w:t>
      </w:r>
      <w:r w:rsidR="00B40213">
        <w:rPr>
          <w:sz w:val="20"/>
          <w:szCs w:val="20"/>
        </w:rPr>
        <w:t>not</w:t>
      </w:r>
      <w:r w:rsidR="00E41F81">
        <w:rPr>
          <w:sz w:val="20"/>
          <w:szCs w:val="20"/>
        </w:rPr>
        <w:t xml:space="preserve"> always </w:t>
      </w:r>
      <w:r w:rsidR="00AD191C">
        <w:rPr>
          <w:sz w:val="20"/>
          <w:szCs w:val="20"/>
        </w:rPr>
        <w:t>maximize</w:t>
      </w:r>
      <w:r w:rsidR="00436263">
        <w:rPr>
          <w:sz w:val="20"/>
          <w:szCs w:val="20"/>
        </w:rPr>
        <w:t xml:space="preserve"> shareholder value</w:t>
      </w:r>
      <w:r w:rsidR="00940ADB" w:rsidRPr="00F10D39">
        <w:rPr>
          <w:sz w:val="20"/>
          <w:szCs w:val="20"/>
        </w:rPr>
        <w:t xml:space="preserve">.  </w:t>
      </w:r>
      <w:r w:rsidR="00521358" w:rsidRPr="00F10D39">
        <w:rPr>
          <w:sz w:val="20"/>
          <w:szCs w:val="20"/>
        </w:rPr>
        <w:t>The</w:t>
      </w:r>
      <w:r w:rsidR="00940ADB" w:rsidRPr="00F10D39">
        <w:rPr>
          <w:sz w:val="20"/>
          <w:szCs w:val="20"/>
        </w:rPr>
        <w:t>se instances</w:t>
      </w:r>
      <w:r w:rsidR="00521358" w:rsidRPr="00F10D39">
        <w:rPr>
          <w:sz w:val="20"/>
          <w:szCs w:val="20"/>
        </w:rPr>
        <w:t xml:space="preserve"> are</w:t>
      </w:r>
      <w:r w:rsidR="00BC3F99" w:rsidRPr="00F10D39">
        <w:rPr>
          <w:sz w:val="20"/>
          <w:szCs w:val="20"/>
        </w:rPr>
        <w:t xml:space="preserve"> quoted from the text below</w:t>
      </w:r>
      <w:r w:rsidR="00521358" w:rsidRPr="00F10D39">
        <w:rPr>
          <w:sz w:val="20"/>
          <w:szCs w:val="20"/>
        </w:rPr>
        <w:t>:</w:t>
      </w:r>
    </w:p>
    <w:p w14:paraId="70027817" w14:textId="4380884C" w:rsidR="00502989" w:rsidRPr="00940ADB" w:rsidRDefault="00BC3F99" w:rsidP="00810AD8">
      <w:pPr>
        <w:pStyle w:val="ListParagraph"/>
        <w:numPr>
          <w:ilvl w:val="0"/>
          <w:numId w:val="5"/>
        </w:numPr>
        <w:spacing w:line="240" w:lineRule="auto"/>
        <w:ind w:left="-360" w:right="-720"/>
        <w:jc w:val="both"/>
        <w:rPr>
          <w:rFonts w:cstheme="minorHAnsi"/>
          <w:i/>
          <w:iCs/>
          <w:sz w:val="18"/>
          <w:szCs w:val="18"/>
        </w:rPr>
      </w:pPr>
      <w:r>
        <w:rPr>
          <w:rFonts w:cstheme="minorHAnsi"/>
          <w:i/>
          <w:iCs/>
          <w:sz w:val="18"/>
          <w:szCs w:val="18"/>
        </w:rPr>
        <w:t>“</w:t>
      </w:r>
      <w:r w:rsidR="00940ADB" w:rsidRPr="00940ADB">
        <w:rPr>
          <w:rFonts w:cstheme="minorHAnsi"/>
          <w:i/>
          <w:iCs/>
          <w:sz w:val="18"/>
          <w:szCs w:val="18"/>
        </w:rPr>
        <w:t xml:space="preserve">In </w:t>
      </w:r>
      <w:r w:rsidR="00502989" w:rsidRPr="00940ADB">
        <w:rPr>
          <w:rFonts w:cstheme="minorHAnsi"/>
          <w:i/>
          <w:iCs/>
          <w:sz w:val="18"/>
          <w:szCs w:val="18"/>
        </w:rPr>
        <w:t xml:space="preserve">the rare instance when a project with a negative net present value (NPV) reached the CEC, </w:t>
      </w:r>
      <w:r w:rsidR="00502989" w:rsidRPr="00940ADB">
        <w:rPr>
          <w:rFonts w:cstheme="minorHAnsi"/>
          <w:i/>
          <w:iCs/>
          <w:sz w:val="18"/>
          <w:szCs w:val="18"/>
          <w:u w:val="single"/>
        </w:rPr>
        <w:t xml:space="preserve">the committee was asked to consider the project </w:t>
      </w:r>
      <w:r w:rsidR="00632536">
        <w:rPr>
          <w:rFonts w:cstheme="minorHAnsi"/>
          <w:i/>
          <w:iCs/>
          <w:sz w:val="18"/>
          <w:szCs w:val="18"/>
          <w:u w:val="single"/>
        </w:rPr>
        <w:t>in light of</w:t>
      </w:r>
      <w:r w:rsidR="00502989" w:rsidRPr="00940ADB">
        <w:rPr>
          <w:rFonts w:cstheme="minorHAnsi"/>
          <w:i/>
          <w:iCs/>
          <w:sz w:val="18"/>
          <w:szCs w:val="18"/>
          <w:u w:val="single"/>
        </w:rPr>
        <w:t xml:space="preserve"> its strategic importance to the company</w:t>
      </w:r>
      <w:r w:rsidR="00502989" w:rsidRPr="00940ADB">
        <w:rPr>
          <w:rFonts w:cstheme="minorHAnsi"/>
          <w:i/>
          <w:iCs/>
          <w:sz w:val="18"/>
          <w:szCs w:val="18"/>
        </w:rPr>
        <w:t>.</w:t>
      </w:r>
      <w:r>
        <w:rPr>
          <w:rFonts w:cstheme="minorHAnsi"/>
          <w:i/>
          <w:iCs/>
          <w:sz w:val="18"/>
          <w:szCs w:val="18"/>
        </w:rPr>
        <w:t>”</w:t>
      </w:r>
    </w:p>
    <w:p w14:paraId="29C60038" w14:textId="01B35345" w:rsidR="00502989" w:rsidRDefault="00BC3F99" w:rsidP="00810AD8">
      <w:pPr>
        <w:pStyle w:val="ListParagraph"/>
        <w:numPr>
          <w:ilvl w:val="0"/>
          <w:numId w:val="4"/>
        </w:numPr>
        <w:spacing w:line="240" w:lineRule="auto"/>
        <w:ind w:left="-360" w:right="-720"/>
        <w:jc w:val="both"/>
        <w:rPr>
          <w:rFonts w:cstheme="minorHAnsi"/>
          <w:i/>
          <w:iCs/>
          <w:sz w:val="18"/>
          <w:szCs w:val="18"/>
        </w:rPr>
      </w:pPr>
      <w:r>
        <w:rPr>
          <w:rFonts w:cstheme="minorHAnsi"/>
          <w:i/>
          <w:iCs/>
          <w:sz w:val="18"/>
          <w:szCs w:val="18"/>
        </w:rPr>
        <w:t>“</w:t>
      </w:r>
      <w:r w:rsidR="00502989" w:rsidRPr="00940ADB">
        <w:rPr>
          <w:rFonts w:cstheme="minorHAnsi"/>
          <w:i/>
          <w:iCs/>
          <w:sz w:val="18"/>
          <w:szCs w:val="18"/>
        </w:rPr>
        <w:t xml:space="preserve">In some cases, new Target stores were </w:t>
      </w:r>
      <w:r w:rsidR="00502989" w:rsidRPr="008F6D60">
        <w:rPr>
          <w:rFonts w:cstheme="minorHAnsi"/>
          <w:i/>
          <w:iCs/>
          <w:sz w:val="18"/>
          <w:szCs w:val="18"/>
          <w:u w:val="single"/>
        </w:rPr>
        <w:t>strategically located to block other retailers</w:t>
      </w:r>
      <w:r w:rsidR="00502989" w:rsidRPr="00940ADB">
        <w:rPr>
          <w:rFonts w:cstheme="minorHAnsi"/>
          <w:i/>
          <w:iCs/>
          <w:sz w:val="18"/>
          <w:szCs w:val="18"/>
        </w:rPr>
        <w:t xml:space="preserve"> </w:t>
      </w:r>
      <w:r w:rsidR="00502989" w:rsidRPr="00940ADB">
        <w:rPr>
          <w:rFonts w:cstheme="minorHAnsi"/>
          <w:i/>
          <w:iCs/>
          <w:sz w:val="18"/>
          <w:szCs w:val="18"/>
          <w:u w:val="single"/>
        </w:rPr>
        <w:t>despite marginal short-term returns</w:t>
      </w:r>
      <w:r w:rsidR="00502989" w:rsidRPr="00940ADB">
        <w:rPr>
          <w:rFonts w:cstheme="minorHAnsi"/>
          <w:i/>
          <w:iCs/>
          <w:sz w:val="18"/>
          <w:szCs w:val="18"/>
        </w:rPr>
        <w:t>.</w:t>
      </w:r>
      <w:r>
        <w:rPr>
          <w:rFonts w:cstheme="minorHAnsi"/>
          <w:i/>
          <w:iCs/>
          <w:sz w:val="18"/>
          <w:szCs w:val="18"/>
        </w:rPr>
        <w:t>”</w:t>
      </w:r>
    </w:p>
    <w:p w14:paraId="74161189" w14:textId="56922BBB" w:rsidR="00225012" w:rsidRDefault="00225012" w:rsidP="00810AD8">
      <w:pPr>
        <w:pStyle w:val="ListParagraph"/>
        <w:numPr>
          <w:ilvl w:val="0"/>
          <w:numId w:val="4"/>
        </w:numPr>
        <w:spacing w:line="240" w:lineRule="auto"/>
        <w:ind w:left="-360" w:right="-720"/>
        <w:jc w:val="both"/>
        <w:rPr>
          <w:rFonts w:cstheme="minorHAnsi"/>
          <w:i/>
          <w:iCs/>
          <w:sz w:val="18"/>
          <w:szCs w:val="18"/>
        </w:rPr>
      </w:pPr>
      <w:r>
        <w:rPr>
          <w:rFonts w:cstheme="minorHAnsi"/>
          <w:i/>
          <w:iCs/>
          <w:sz w:val="18"/>
          <w:szCs w:val="18"/>
        </w:rPr>
        <w:t>T</w:t>
      </w:r>
      <w:r w:rsidRPr="00225012">
        <w:rPr>
          <w:rFonts w:cstheme="minorHAnsi"/>
          <w:i/>
          <w:iCs/>
          <w:sz w:val="18"/>
          <w:szCs w:val="18"/>
        </w:rPr>
        <w:t xml:space="preserve">he CEC should </w:t>
      </w:r>
      <w:r w:rsidR="00BC3F99" w:rsidRPr="00225012">
        <w:rPr>
          <w:rFonts w:cstheme="minorHAnsi"/>
          <w:i/>
          <w:iCs/>
          <w:sz w:val="18"/>
          <w:szCs w:val="18"/>
          <w:u w:val="single"/>
        </w:rPr>
        <w:t>worry less</w:t>
      </w:r>
      <w:r w:rsidRPr="00225012">
        <w:rPr>
          <w:rFonts w:cstheme="minorHAnsi"/>
          <w:i/>
          <w:iCs/>
          <w:sz w:val="18"/>
          <w:szCs w:val="18"/>
          <w:u w:val="single"/>
        </w:rPr>
        <w:t xml:space="preserve"> about Whalen Court’s uncertain </w:t>
      </w:r>
      <w:r w:rsidR="00BC3F99" w:rsidRPr="00225012">
        <w:rPr>
          <w:rFonts w:cstheme="minorHAnsi"/>
          <w:i/>
          <w:iCs/>
          <w:sz w:val="18"/>
          <w:szCs w:val="18"/>
          <w:u w:val="single"/>
        </w:rPr>
        <w:t>sales and</w:t>
      </w:r>
      <w:r w:rsidRPr="00225012">
        <w:rPr>
          <w:rFonts w:cstheme="minorHAnsi"/>
          <w:i/>
          <w:iCs/>
          <w:sz w:val="18"/>
          <w:szCs w:val="18"/>
          <w:u w:val="single"/>
        </w:rPr>
        <w:t xml:space="preserve"> </w:t>
      </w:r>
      <w:r w:rsidR="00BC3F99" w:rsidRPr="00225012">
        <w:rPr>
          <w:rFonts w:cstheme="minorHAnsi"/>
          <w:i/>
          <w:iCs/>
          <w:sz w:val="18"/>
          <w:szCs w:val="18"/>
          <w:u w:val="single"/>
        </w:rPr>
        <w:t>focus more on the</w:t>
      </w:r>
      <w:r w:rsidRPr="00225012">
        <w:rPr>
          <w:rFonts w:cstheme="minorHAnsi"/>
          <w:i/>
          <w:iCs/>
          <w:sz w:val="18"/>
          <w:szCs w:val="18"/>
          <w:u w:val="single"/>
        </w:rPr>
        <w:t xml:space="preserve"> </w:t>
      </w:r>
      <w:r w:rsidR="00BC3F99" w:rsidRPr="00225012">
        <w:rPr>
          <w:rFonts w:cstheme="minorHAnsi"/>
          <w:i/>
          <w:iCs/>
          <w:sz w:val="18"/>
          <w:szCs w:val="18"/>
          <w:u w:val="single"/>
        </w:rPr>
        <w:t xml:space="preserve">project </w:t>
      </w:r>
      <w:proofErr w:type="gramStart"/>
      <w:r w:rsidR="00BC3F99" w:rsidRPr="00225012">
        <w:rPr>
          <w:rFonts w:cstheme="minorHAnsi"/>
          <w:i/>
          <w:iCs/>
          <w:sz w:val="18"/>
          <w:szCs w:val="18"/>
          <w:u w:val="single"/>
        </w:rPr>
        <w:t>as</w:t>
      </w:r>
      <w:r w:rsidRPr="00225012">
        <w:rPr>
          <w:rFonts w:cstheme="minorHAnsi"/>
          <w:i/>
          <w:iCs/>
          <w:sz w:val="18"/>
          <w:szCs w:val="18"/>
          <w:u w:val="single"/>
        </w:rPr>
        <w:t xml:space="preserve"> a </w:t>
      </w:r>
      <w:r w:rsidR="00BC3F99" w:rsidRPr="00225012">
        <w:rPr>
          <w:rFonts w:cstheme="minorHAnsi"/>
          <w:i/>
          <w:iCs/>
          <w:sz w:val="18"/>
          <w:szCs w:val="18"/>
          <w:u w:val="single"/>
        </w:rPr>
        <w:t>means to</w:t>
      </w:r>
      <w:proofErr w:type="gramEnd"/>
      <w:r w:rsidR="00BC3F99" w:rsidRPr="00225012">
        <w:rPr>
          <w:rFonts w:cstheme="minorHAnsi"/>
          <w:i/>
          <w:iCs/>
          <w:sz w:val="18"/>
          <w:szCs w:val="18"/>
          <w:u w:val="single"/>
        </w:rPr>
        <w:t xml:space="preserve"> increase</w:t>
      </w:r>
      <w:r w:rsidRPr="00225012">
        <w:rPr>
          <w:rFonts w:cstheme="minorHAnsi"/>
          <w:i/>
          <w:iCs/>
          <w:sz w:val="18"/>
          <w:szCs w:val="18"/>
          <w:u w:val="single"/>
        </w:rPr>
        <w:t xml:space="preserve"> </w:t>
      </w:r>
      <w:r w:rsidR="00BC3F99" w:rsidRPr="00225012">
        <w:rPr>
          <w:rFonts w:cstheme="minorHAnsi"/>
          <w:i/>
          <w:iCs/>
          <w:sz w:val="18"/>
          <w:szCs w:val="18"/>
          <w:u w:val="single"/>
        </w:rPr>
        <w:t>Target’s brand awareness</w:t>
      </w:r>
      <w:r w:rsidRPr="00225012">
        <w:rPr>
          <w:rFonts w:cstheme="minorHAnsi"/>
          <w:i/>
          <w:iCs/>
          <w:sz w:val="18"/>
          <w:szCs w:val="18"/>
        </w:rPr>
        <w:t xml:space="preserve"> </w:t>
      </w:r>
      <w:r w:rsidR="00BC3F99" w:rsidRPr="00225012">
        <w:rPr>
          <w:rFonts w:cstheme="minorHAnsi"/>
          <w:i/>
          <w:iCs/>
          <w:sz w:val="18"/>
          <w:szCs w:val="18"/>
        </w:rPr>
        <w:t>in an area with</w:t>
      </w:r>
      <w:r w:rsidRPr="00225012">
        <w:rPr>
          <w:rFonts w:cstheme="minorHAnsi"/>
          <w:i/>
          <w:iCs/>
          <w:sz w:val="18"/>
          <w:szCs w:val="18"/>
        </w:rPr>
        <w:t xml:space="preserve"> </w:t>
      </w:r>
      <w:r w:rsidR="00BC3F99" w:rsidRPr="00225012">
        <w:rPr>
          <w:rFonts w:cstheme="minorHAnsi"/>
          <w:i/>
          <w:iCs/>
          <w:sz w:val="18"/>
          <w:szCs w:val="18"/>
        </w:rPr>
        <w:t>dense foot</w:t>
      </w:r>
      <w:r w:rsidRPr="00225012">
        <w:rPr>
          <w:rFonts w:cstheme="minorHAnsi"/>
          <w:i/>
          <w:iCs/>
          <w:sz w:val="18"/>
          <w:szCs w:val="18"/>
        </w:rPr>
        <w:t xml:space="preserve"> </w:t>
      </w:r>
      <w:r w:rsidR="00BC3F99" w:rsidRPr="00225012">
        <w:rPr>
          <w:rFonts w:cstheme="minorHAnsi"/>
          <w:i/>
          <w:iCs/>
          <w:sz w:val="18"/>
          <w:szCs w:val="18"/>
        </w:rPr>
        <w:t>traffic and</w:t>
      </w:r>
      <w:r w:rsidRPr="00225012">
        <w:rPr>
          <w:rFonts w:cstheme="minorHAnsi"/>
          <w:i/>
          <w:iCs/>
          <w:sz w:val="18"/>
          <w:szCs w:val="18"/>
        </w:rPr>
        <w:t xml:space="preserve"> high-fashion appeal</w:t>
      </w:r>
      <w:r>
        <w:rPr>
          <w:rFonts w:cstheme="minorHAnsi"/>
          <w:i/>
          <w:iCs/>
          <w:sz w:val="18"/>
          <w:szCs w:val="18"/>
        </w:rPr>
        <w:t>.</w:t>
      </w:r>
    </w:p>
    <w:p w14:paraId="0AC5869C" w14:textId="035C5E7F" w:rsidR="00913B97" w:rsidRPr="00225012" w:rsidRDefault="00913B97" w:rsidP="00810AD8">
      <w:pPr>
        <w:pStyle w:val="ListParagraph"/>
        <w:numPr>
          <w:ilvl w:val="0"/>
          <w:numId w:val="4"/>
        </w:numPr>
        <w:spacing w:line="240" w:lineRule="auto"/>
        <w:ind w:left="-360" w:right="-720"/>
        <w:jc w:val="both"/>
        <w:rPr>
          <w:rFonts w:cstheme="minorHAnsi"/>
          <w:i/>
          <w:iCs/>
          <w:sz w:val="18"/>
          <w:szCs w:val="18"/>
        </w:rPr>
      </w:pPr>
      <w:r w:rsidRPr="00913B97">
        <w:rPr>
          <w:rFonts w:cstheme="minorHAnsi"/>
          <w:i/>
          <w:iCs/>
          <w:sz w:val="18"/>
          <w:szCs w:val="18"/>
        </w:rPr>
        <w:t xml:space="preserve">The NPV, however, was small </w:t>
      </w:r>
      <w:r w:rsidR="004B7689" w:rsidRPr="00913B97">
        <w:rPr>
          <w:rFonts w:cstheme="minorHAnsi"/>
          <w:i/>
          <w:iCs/>
          <w:sz w:val="18"/>
          <w:szCs w:val="18"/>
        </w:rPr>
        <w:t>at $</w:t>
      </w:r>
      <w:r w:rsidRPr="00913B97">
        <w:rPr>
          <w:rFonts w:cstheme="minorHAnsi"/>
          <w:i/>
          <w:iCs/>
          <w:sz w:val="18"/>
          <w:szCs w:val="18"/>
        </w:rPr>
        <w:t>317,000</w:t>
      </w:r>
      <w:r w:rsidR="00BC3F99" w:rsidRPr="00913B97">
        <w:rPr>
          <w:rFonts w:cstheme="minorHAnsi"/>
          <w:i/>
          <w:iCs/>
          <w:sz w:val="18"/>
          <w:szCs w:val="18"/>
        </w:rPr>
        <w:t>, well below the</w:t>
      </w:r>
      <w:r w:rsidRPr="00913B97">
        <w:rPr>
          <w:rFonts w:cstheme="minorHAnsi"/>
          <w:i/>
          <w:iCs/>
          <w:sz w:val="18"/>
          <w:szCs w:val="18"/>
        </w:rPr>
        <w:t xml:space="preserve"> </w:t>
      </w:r>
      <w:r w:rsidR="00BC3F99" w:rsidRPr="00913B97">
        <w:rPr>
          <w:rFonts w:cstheme="minorHAnsi"/>
          <w:i/>
          <w:iCs/>
          <w:sz w:val="18"/>
          <w:szCs w:val="18"/>
        </w:rPr>
        <w:t>expected NPV of</w:t>
      </w:r>
      <w:r w:rsidRPr="00913B97">
        <w:rPr>
          <w:rFonts w:cstheme="minorHAnsi"/>
          <w:i/>
          <w:iCs/>
          <w:sz w:val="18"/>
          <w:szCs w:val="18"/>
        </w:rPr>
        <w:t xml:space="preserve"> a </w:t>
      </w:r>
      <w:r w:rsidR="00BC3F99" w:rsidRPr="00913B97">
        <w:rPr>
          <w:rFonts w:cstheme="minorHAnsi"/>
          <w:i/>
          <w:iCs/>
          <w:sz w:val="18"/>
          <w:szCs w:val="18"/>
        </w:rPr>
        <w:t xml:space="preserve">Super Target prototype </w:t>
      </w:r>
      <w:r w:rsidR="00BC3F99" w:rsidRPr="0026563F">
        <w:rPr>
          <w:rFonts w:cstheme="minorHAnsi"/>
          <w:i/>
          <w:iCs/>
          <w:sz w:val="18"/>
          <w:szCs w:val="18"/>
          <w:u w:val="single"/>
        </w:rPr>
        <w:t>and would be</w:t>
      </w:r>
      <w:r w:rsidRPr="0026563F">
        <w:rPr>
          <w:rFonts w:cstheme="minorHAnsi"/>
          <w:i/>
          <w:iCs/>
          <w:sz w:val="18"/>
          <w:szCs w:val="18"/>
          <w:u w:val="single"/>
        </w:rPr>
        <w:t xml:space="preserve"> </w:t>
      </w:r>
      <w:r w:rsidR="00BC3F99" w:rsidRPr="0026563F">
        <w:rPr>
          <w:rFonts w:cstheme="minorHAnsi"/>
          <w:i/>
          <w:iCs/>
          <w:sz w:val="18"/>
          <w:szCs w:val="18"/>
          <w:u w:val="single"/>
        </w:rPr>
        <w:t>negative without</w:t>
      </w:r>
      <w:r w:rsidRPr="0026563F">
        <w:rPr>
          <w:rFonts w:cstheme="minorHAnsi"/>
          <w:i/>
          <w:iCs/>
          <w:sz w:val="18"/>
          <w:szCs w:val="18"/>
          <w:u w:val="single"/>
        </w:rPr>
        <w:t xml:space="preserve"> the value contribution of credit-card sales</w:t>
      </w:r>
      <w:r w:rsidRPr="00913B97">
        <w:rPr>
          <w:rFonts w:cstheme="minorHAnsi"/>
          <w:i/>
          <w:iCs/>
          <w:sz w:val="18"/>
          <w:szCs w:val="18"/>
        </w:rPr>
        <w:t>.</w:t>
      </w:r>
    </w:p>
    <w:p w14:paraId="2E19CB2C" w14:textId="5DACD195" w:rsidR="00800173" w:rsidRPr="00F10D39" w:rsidRDefault="005642AA" w:rsidP="00F10D39">
      <w:pPr>
        <w:spacing w:line="240" w:lineRule="auto"/>
        <w:ind w:left="-720" w:right="-720"/>
        <w:jc w:val="both"/>
        <w:rPr>
          <w:sz w:val="20"/>
          <w:szCs w:val="20"/>
        </w:rPr>
      </w:pPr>
      <w:r w:rsidRPr="00F10D39">
        <w:rPr>
          <w:sz w:val="20"/>
          <w:szCs w:val="20"/>
        </w:rPr>
        <w:t xml:space="preserve">My recommendation </w:t>
      </w:r>
      <w:r w:rsidR="00632536" w:rsidRPr="00F10D39">
        <w:rPr>
          <w:sz w:val="20"/>
          <w:szCs w:val="20"/>
        </w:rPr>
        <w:t>is to</w:t>
      </w:r>
      <w:r w:rsidRPr="00F10D39">
        <w:rPr>
          <w:sz w:val="20"/>
          <w:szCs w:val="20"/>
        </w:rPr>
        <w:t xml:space="preserve"> </w:t>
      </w:r>
      <w:r w:rsidR="00632536" w:rsidRPr="00F10D39">
        <w:rPr>
          <w:sz w:val="20"/>
          <w:szCs w:val="20"/>
        </w:rPr>
        <w:t>have</w:t>
      </w:r>
      <w:r w:rsidR="002708A5" w:rsidRPr="00F10D39">
        <w:rPr>
          <w:sz w:val="20"/>
          <w:szCs w:val="20"/>
        </w:rPr>
        <w:t xml:space="preserve"> Target restate its strategy </w:t>
      </w:r>
      <w:r w:rsidR="0086710B">
        <w:rPr>
          <w:sz w:val="20"/>
          <w:szCs w:val="20"/>
        </w:rPr>
        <w:t xml:space="preserve">emphasizing the increase of </w:t>
      </w:r>
      <w:r w:rsidR="002708A5" w:rsidRPr="00F10D39">
        <w:rPr>
          <w:sz w:val="20"/>
          <w:szCs w:val="20"/>
        </w:rPr>
        <w:t xml:space="preserve">shareholder wealth </w:t>
      </w:r>
      <w:r w:rsidR="002708A5" w:rsidRPr="00F10D39">
        <w:rPr>
          <w:i/>
          <w:iCs/>
          <w:sz w:val="20"/>
          <w:szCs w:val="20"/>
        </w:rPr>
        <w:t>through</w:t>
      </w:r>
      <w:r w:rsidR="002708A5" w:rsidRPr="00F10D39">
        <w:rPr>
          <w:sz w:val="20"/>
          <w:szCs w:val="20"/>
        </w:rPr>
        <w:t xml:space="preserve"> aggressive store growth and maintaining brand image.  Additionally, </w:t>
      </w:r>
      <w:r w:rsidR="00C56781" w:rsidRPr="00F10D39">
        <w:rPr>
          <w:sz w:val="20"/>
          <w:szCs w:val="20"/>
        </w:rPr>
        <w:t>i</w:t>
      </w:r>
      <w:r w:rsidR="00C7796A" w:rsidRPr="00F10D39">
        <w:rPr>
          <w:sz w:val="20"/>
          <w:szCs w:val="20"/>
        </w:rPr>
        <w:t xml:space="preserve">f instances arise wherein </w:t>
      </w:r>
      <w:r w:rsidR="002708A5" w:rsidRPr="00F10D39">
        <w:rPr>
          <w:sz w:val="20"/>
          <w:szCs w:val="20"/>
        </w:rPr>
        <w:t>projects</w:t>
      </w:r>
      <w:r w:rsidR="00C7796A" w:rsidRPr="00F10D39">
        <w:rPr>
          <w:sz w:val="20"/>
          <w:szCs w:val="20"/>
        </w:rPr>
        <w:t xml:space="preserve"> are suggested for their </w:t>
      </w:r>
      <w:r w:rsidR="00C7796A" w:rsidRPr="00F10D39">
        <w:rPr>
          <w:i/>
          <w:iCs/>
          <w:sz w:val="20"/>
          <w:szCs w:val="20"/>
        </w:rPr>
        <w:t>strategic</w:t>
      </w:r>
      <w:r w:rsidR="00C7796A" w:rsidRPr="00F10D39">
        <w:rPr>
          <w:sz w:val="20"/>
          <w:szCs w:val="20"/>
        </w:rPr>
        <w:t xml:space="preserve"> </w:t>
      </w:r>
      <w:r w:rsidR="00632536" w:rsidRPr="00F10D39">
        <w:rPr>
          <w:sz w:val="20"/>
          <w:szCs w:val="20"/>
        </w:rPr>
        <w:t xml:space="preserve">and/or </w:t>
      </w:r>
      <w:r w:rsidR="00632536" w:rsidRPr="00F10D39">
        <w:rPr>
          <w:i/>
          <w:iCs/>
          <w:sz w:val="20"/>
          <w:szCs w:val="20"/>
        </w:rPr>
        <w:t>brand-awareness</w:t>
      </w:r>
      <w:r w:rsidR="00632536" w:rsidRPr="00F10D39">
        <w:rPr>
          <w:sz w:val="20"/>
          <w:szCs w:val="20"/>
        </w:rPr>
        <w:t xml:space="preserve"> </w:t>
      </w:r>
      <w:r w:rsidR="00C7796A" w:rsidRPr="00F10D39">
        <w:rPr>
          <w:sz w:val="20"/>
          <w:szCs w:val="20"/>
        </w:rPr>
        <w:t xml:space="preserve">value; I would recommend that the CEC demand </w:t>
      </w:r>
      <w:r w:rsidR="00632536" w:rsidRPr="00F10D39">
        <w:rPr>
          <w:sz w:val="20"/>
          <w:szCs w:val="20"/>
        </w:rPr>
        <w:t xml:space="preserve">that these </w:t>
      </w:r>
      <w:r w:rsidR="00C8002A">
        <w:rPr>
          <w:sz w:val="20"/>
          <w:szCs w:val="20"/>
        </w:rPr>
        <w:t>qualitative factors</w:t>
      </w:r>
      <w:r w:rsidR="00632536" w:rsidRPr="00F10D39">
        <w:rPr>
          <w:sz w:val="20"/>
          <w:szCs w:val="20"/>
        </w:rPr>
        <w:t xml:space="preserve"> be</w:t>
      </w:r>
      <w:r w:rsidR="00C7796A" w:rsidRPr="00F10D39">
        <w:rPr>
          <w:sz w:val="20"/>
          <w:szCs w:val="20"/>
        </w:rPr>
        <w:t xml:space="preserve"> quantified </w:t>
      </w:r>
      <w:r w:rsidR="00C8002A">
        <w:rPr>
          <w:sz w:val="20"/>
          <w:szCs w:val="20"/>
        </w:rPr>
        <w:t xml:space="preserve">and </w:t>
      </w:r>
      <w:r w:rsidR="00C7796A" w:rsidRPr="00F10D39">
        <w:rPr>
          <w:sz w:val="20"/>
          <w:szCs w:val="20"/>
        </w:rPr>
        <w:t xml:space="preserve">be </w:t>
      </w:r>
      <w:r w:rsidR="00C8002A">
        <w:rPr>
          <w:sz w:val="20"/>
          <w:szCs w:val="20"/>
        </w:rPr>
        <w:t xml:space="preserve">included in </w:t>
      </w:r>
      <w:r w:rsidR="00CD5C4A">
        <w:rPr>
          <w:sz w:val="20"/>
          <w:szCs w:val="20"/>
        </w:rPr>
        <w:t xml:space="preserve">the </w:t>
      </w:r>
      <w:r w:rsidR="00C8002A">
        <w:rPr>
          <w:sz w:val="20"/>
          <w:szCs w:val="20"/>
        </w:rPr>
        <w:t>NPV calculations that are part of the Capital</w:t>
      </w:r>
      <w:r w:rsidR="00CD5C4A">
        <w:rPr>
          <w:sz w:val="20"/>
          <w:szCs w:val="20"/>
        </w:rPr>
        <w:t xml:space="preserve"> Project Request</w:t>
      </w:r>
      <w:r w:rsidR="00C7796A" w:rsidRPr="00F10D39">
        <w:rPr>
          <w:sz w:val="20"/>
          <w:szCs w:val="20"/>
        </w:rPr>
        <w:t xml:space="preserve">.  If </w:t>
      </w:r>
      <w:r w:rsidR="002C3E8C">
        <w:rPr>
          <w:sz w:val="20"/>
          <w:szCs w:val="20"/>
        </w:rPr>
        <w:t xml:space="preserve">after </w:t>
      </w:r>
      <w:r w:rsidR="00C8002A">
        <w:rPr>
          <w:sz w:val="20"/>
          <w:szCs w:val="20"/>
        </w:rPr>
        <w:t>these</w:t>
      </w:r>
      <w:r w:rsidR="002C3E8C">
        <w:rPr>
          <w:sz w:val="20"/>
          <w:szCs w:val="20"/>
        </w:rPr>
        <w:t xml:space="preserve"> changes are </w:t>
      </w:r>
      <w:proofErr w:type="gramStart"/>
      <w:r w:rsidR="0086710B">
        <w:rPr>
          <w:sz w:val="20"/>
          <w:szCs w:val="20"/>
        </w:rPr>
        <w:t>implemented</w:t>
      </w:r>
      <w:proofErr w:type="gramEnd"/>
      <w:r w:rsidR="0086710B">
        <w:rPr>
          <w:sz w:val="20"/>
          <w:szCs w:val="20"/>
        </w:rPr>
        <w:t xml:space="preserve"> </w:t>
      </w:r>
      <w:r w:rsidR="00C7796A" w:rsidRPr="00F10D39">
        <w:rPr>
          <w:sz w:val="20"/>
          <w:szCs w:val="20"/>
        </w:rPr>
        <w:t>there are instances where projects are being considered with marginal or negative NPVs</w:t>
      </w:r>
      <w:r w:rsidR="00CD5C4A">
        <w:rPr>
          <w:sz w:val="20"/>
          <w:szCs w:val="20"/>
        </w:rPr>
        <w:t>;</w:t>
      </w:r>
      <w:r w:rsidR="00C7796A" w:rsidRPr="00F10D39">
        <w:rPr>
          <w:sz w:val="20"/>
          <w:szCs w:val="20"/>
        </w:rPr>
        <w:t xml:space="preserve"> I would </w:t>
      </w:r>
      <w:r w:rsidR="00632536" w:rsidRPr="00F10D39">
        <w:rPr>
          <w:sz w:val="20"/>
          <w:szCs w:val="20"/>
        </w:rPr>
        <w:t xml:space="preserve">recommend that </w:t>
      </w:r>
      <w:r w:rsidR="00FC138E" w:rsidRPr="00F10D39">
        <w:rPr>
          <w:sz w:val="20"/>
          <w:szCs w:val="20"/>
        </w:rPr>
        <w:t>those projects be declined</w:t>
      </w:r>
      <w:r w:rsidR="00C7796A" w:rsidRPr="00F10D39">
        <w:rPr>
          <w:sz w:val="20"/>
          <w:szCs w:val="20"/>
        </w:rPr>
        <w:t xml:space="preserve">.  </w:t>
      </w:r>
    </w:p>
    <w:p w14:paraId="7D1B15BE" w14:textId="4B4F453A" w:rsidR="00737158" w:rsidRPr="00F10D39" w:rsidRDefault="00FC047C" w:rsidP="00F10D39">
      <w:pPr>
        <w:spacing w:line="240" w:lineRule="auto"/>
        <w:ind w:left="-720" w:right="-720"/>
        <w:jc w:val="both"/>
        <w:rPr>
          <w:sz w:val="20"/>
          <w:szCs w:val="20"/>
        </w:rPr>
      </w:pPr>
      <w:r>
        <w:t xml:space="preserve">2. </w:t>
      </w:r>
      <w:r w:rsidR="00FC138E" w:rsidRPr="00F10D39">
        <w:rPr>
          <w:sz w:val="20"/>
          <w:szCs w:val="20"/>
        </w:rPr>
        <w:t xml:space="preserve">To compete with Costco, Target </w:t>
      </w:r>
      <w:r w:rsidR="00737158" w:rsidRPr="00F10D39">
        <w:rPr>
          <w:sz w:val="20"/>
          <w:szCs w:val="20"/>
        </w:rPr>
        <w:t>offers</w:t>
      </w:r>
      <w:r w:rsidR="00FC138E" w:rsidRPr="00F10D39">
        <w:rPr>
          <w:sz w:val="20"/>
          <w:szCs w:val="20"/>
        </w:rPr>
        <w:t xml:space="preserve"> credit to qualified customers through its </w:t>
      </w:r>
      <w:proofErr w:type="spellStart"/>
      <w:r w:rsidR="00FC138E" w:rsidRPr="00F10D39">
        <w:rPr>
          <w:sz w:val="20"/>
          <w:szCs w:val="20"/>
        </w:rPr>
        <w:t>REDcards</w:t>
      </w:r>
      <w:proofErr w:type="spellEnd"/>
      <w:r w:rsidR="00FC138E" w:rsidRPr="00F10D39">
        <w:rPr>
          <w:sz w:val="20"/>
          <w:szCs w:val="20"/>
        </w:rPr>
        <w:t xml:space="preserve">:  Target Visa Credit Card and Target Credit Card.  </w:t>
      </w:r>
      <w:r w:rsidR="00737158" w:rsidRPr="00F10D39">
        <w:rPr>
          <w:sz w:val="20"/>
          <w:szCs w:val="20"/>
        </w:rPr>
        <w:t>From the case we read:</w:t>
      </w:r>
    </w:p>
    <w:p w14:paraId="37457541" w14:textId="06304183" w:rsidR="00737158" w:rsidRPr="00810AD8" w:rsidRDefault="00700ABB" w:rsidP="00810AD8">
      <w:pPr>
        <w:spacing w:line="240" w:lineRule="auto"/>
        <w:ind w:left="-180" w:right="-180"/>
        <w:jc w:val="both"/>
        <w:rPr>
          <w:sz w:val="18"/>
          <w:szCs w:val="18"/>
        </w:rPr>
      </w:pPr>
      <w:r w:rsidRPr="00810AD8">
        <w:rPr>
          <w:sz w:val="18"/>
          <w:szCs w:val="18"/>
        </w:rPr>
        <w:t>“</w:t>
      </w:r>
      <w:r w:rsidR="00FC138E" w:rsidRPr="00810AD8">
        <w:rPr>
          <w:sz w:val="18"/>
          <w:szCs w:val="18"/>
        </w:rPr>
        <w:t xml:space="preserve">The </w:t>
      </w:r>
      <w:r w:rsidR="00FC138E" w:rsidRPr="00810AD8">
        <w:rPr>
          <w:sz w:val="18"/>
          <w:szCs w:val="18"/>
          <w:u w:val="single"/>
        </w:rPr>
        <w:t>credit-card business</w:t>
      </w:r>
      <w:r w:rsidR="00FC138E" w:rsidRPr="00810AD8">
        <w:rPr>
          <w:sz w:val="18"/>
          <w:szCs w:val="18"/>
        </w:rPr>
        <w:t xml:space="preserve"> accounted for 14.9% of Target’s operating earnings and </w:t>
      </w:r>
      <w:r w:rsidR="00FC138E" w:rsidRPr="00810AD8">
        <w:rPr>
          <w:b/>
          <w:bCs/>
          <w:i/>
          <w:iCs/>
          <w:sz w:val="18"/>
          <w:szCs w:val="18"/>
          <w:u w:val="single"/>
        </w:rPr>
        <w:t>was designed to be integrated with the company’s overall strategy</w:t>
      </w:r>
      <w:r w:rsidR="00FC138E" w:rsidRPr="00810AD8">
        <w:rPr>
          <w:sz w:val="18"/>
          <w:szCs w:val="18"/>
        </w:rPr>
        <w:t xml:space="preserve"> by focusing only on customers who visited Target stores.</w:t>
      </w:r>
      <w:r w:rsidRPr="00810AD8">
        <w:rPr>
          <w:sz w:val="18"/>
          <w:szCs w:val="18"/>
        </w:rPr>
        <w:t>”</w:t>
      </w:r>
    </w:p>
    <w:p w14:paraId="77432C8B" w14:textId="268825E2" w:rsidR="001D74E9" w:rsidRPr="00F10D39" w:rsidRDefault="00C344E5" w:rsidP="00F10D39">
      <w:pPr>
        <w:spacing w:line="240" w:lineRule="auto"/>
        <w:ind w:left="-720" w:right="-720"/>
        <w:jc w:val="both"/>
        <w:rPr>
          <w:sz w:val="20"/>
          <w:szCs w:val="20"/>
        </w:rPr>
      </w:pPr>
      <w:r w:rsidRPr="00F10D39">
        <w:rPr>
          <w:sz w:val="20"/>
          <w:szCs w:val="20"/>
        </w:rPr>
        <w:t xml:space="preserve">Each additional </w:t>
      </w:r>
      <w:r w:rsidR="004C4926" w:rsidRPr="00F10D39">
        <w:rPr>
          <w:sz w:val="20"/>
          <w:szCs w:val="20"/>
        </w:rPr>
        <w:t xml:space="preserve">Target </w:t>
      </w:r>
      <w:r w:rsidRPr="00F10D39">
        <w:rPr>
          <w:sz w:val="20"/>
          <w:szCs w:val="20"/>
        </w:rPr>
        <w:t xml:space="preserve">store </w:t>
      </w:r>
      <w:r w:rsidR="00275ADC" w:rsidRPr="00F10D39">
        <w:rPr>
          <w:sz w:val="20"/>
          <w:szCs w:val="20"/>
        </w:rPr>
        <w:t xml:space="preserve">creates cash flows from store </w:t>
      </w:r>
      <w:r w:rsidR="001D74E9" w:rsidRPr="00F10D39">
        <w:rPr>
          <w:sz w:val="20"/>
          <w:szCs w:val="20"/>
        </w:rPr>
        <w:t>operations,</w:t>
      </w:r>
      <w:r w:rsidR="00275ADC" w:rsidRPr="00F10D39">
        <w:rPr>
          <w:sz w:val="20"/>
          <w:szCs w:val="20"/>
        </w:rPr>
        <w:t xml:space="preserve"> but it also </w:t>
      </w:r>
      <w:r w:rsidR="00C9265A">
        <w:rPr>
          <w:sz w:val="20"/>
          <w:szCs w:val="20"/>
        </w:rPr>
        <w:t xml:space="preserve">gets incremental </w:t>
      </w:r>
      <w:r w:rsidRPr="00F10D39">
        <w:rPr>
          <w:sz w:val="20"/>
          <w:szCs w:val="20"/>
        </w:rPr>
        <w:t xml:space="preserve">cash </w:t>
      </w:r>
      <w:r w:rsidR="00275ADC" w:rsidRPr="00F10D39">
        <w:rPr>
          <w:sz w:val="20"/>
          <w:szCs w:val="20"/>
        </w:rPr>
        <w:t xml:space="preserve">flows </w:t>
      </w:r>
      <w:r w:rsidR="0070782C" w:rsidRPr="00F10D39">
        <w:rPr>
          <w:sz w:val="20"/>
          <w:szCs w:val="20"/>
        </w:rPr>
        <w:t>from</w:t>
      </w:r>
      <w:r w:rsidRPr="00F10D39">
        <w:rPr>
          <w:sz w:val="20"/>
          <w:szCs w:val="20"/>
        </w:rPr>
        <w:t xml:space="preserve"> Target’s credit card business.  </w:t>
      </w:r>
      <w:r w:rsidR="001D74E9" w:rsidRPr="00F10D39">
        <w:rPr>
          <w:sz w:val="20"/>
          <w:szCs w:val="20"/>
        </w:rPr>
        <w:t xml:space="preserve">Generally, a hurdle rate is assigned to determine the net present value of future cash flows based on the risk of those cash flows.  </w:t>
      </w:r>
      <w:r w:rsidR="00AE1B37" w:rsidRPr="00F10D39">
        <w:rPr>
          <w:sz w:val="20"/>
          <w:szCs w:val="20"/>
        </w:rPr>
        <w:t xml:space="preserve">Regarding Target’s </w:t>
      </w:r>
      <w:proofErr w:type="spellStart"/>
      <w:r w:rsidR="00AE1B37" w:rsidRPr="00F10D39">
        <w:rPr>
          <w:sz w:val="20"/>
          <w:szCs w:val="20"/>
        </w:rPr>
        <w:t>REDcard</w:t>
      </w:r>
      <w:proofErr w:type="spellEnd"/>
      <w:r w:rsidR="00AE1B37" w:rsidRPr="00F10D39">
        <w:rPr>
          <w:sz w:val="20"/>
          <w:szCs w:val="20"/>
        </w:rPr>
        <w:t xml:space="preserve"> cash flows, t</w:t>
      </w:r>
      <w:r w:rsidR="001D74E9" w:rsidRPr="00F10D39">
        <w:rPr>
          <w:sz w:val="20"/>
          <w:szCs w:val="20"/>
        </w:rPr>
        <w:t>he case reads:</w:t>
      </w:r>
    </w:p>
    <w:p w14:paraId="5BDE2ABD" w14:textId="6B6CB7C2" w:rsidR="001D74E9" w:rsidRPr="00810AD8" w:rsidRDefault="00AE1B37" w:rsidP="00810AD8">
      <w:pPr>
        <w:spacing w:line="240" w:lineRule="auto"/>
        <w:ind w:left="-180" w:right="-180"/>
        <w:jc w:val="both"/>
        <w:rPr>
          <w:sz w:val="18"/>
          <w:szCs w:val="18"/>
        </w:rPr>
      </w:pPr>
      <w:r w:rsidRPr="00810AD8">
        <w:rPr>
          <w:sz w:val="18"/>
          <w:szCs w:val="18"/>
        </w:rPr>
        <w:t>“...</w:t>
      </w:r>
      <w:r w:rsidR="001D74E9" w:rsidRPr="00810AD8">
        <w:rPr>
          <w:sz w:val="18"/>
          <w:szCs w:val="18"/>
        </w:rPr>
        <w:t>different discount rates were chosen to represent the different costs of capital for funding store operations versus funding credit-card receivables.”</w:t>
      </w:r>
    </w:p>
    <w:p w14:paraId="5EFA017A" w14:textId="1C577D60" w:rsidR="00BC2E8C" w:rsidRDefault="00AE1B37" w:rsidP="00B644D0">
      <w:pPr>
        <w:spacing w:after="0" w:line="240" w:lineRule="auto"/>
        <w:ind w:left="-720" w:right="-720"/>
        <w:jc w:val="both"/>
        <w:rPr>
          <w:sz w:val="20"/>
          <w:szCs w:val="20"/>
        </w:rPr>
      </w:pPr>
      <w:r w:rsidRPr="00F10D39">
        <w:rPr>
          <w:sz w:val="20"/>
          <w:szCs w:val="20"/>
        </w:rPr>
        <w:t xml:space="preserve">It is </w:t>
      </w:r>
      <w:r w:rsidR="001E7FAF" w:rsidRPr="00F10D39">
        <w:rPr>
          <w:sz w:val="20"/>
          <w:szCs w:val="20"/>
        </w:rPr>
        <w:t>appropriate</w:t>
      </w:r>
      <w:r w:rsidR="001D74E9" w:rsidRPr="00F10D39">
        <w:rPr>
          <w:sz w:val="20"/>
          <w:szCs w:val="20"/>
        </w:rPr>
        <w:t xml:space="preserve"> that </w:t>
      </w:r>
      <w:r w:rsidR="00A50F8B" w:rsidRPr="00F10D39">
        <w:rPr>
          <w:sz w:val="20"/>
          <w:szCs w:val="20"/>
        </w:rPr>
        <w:t xml:space="preserve">a </w:t>
      </w:r>
      <w:r w:rsidR="001D74E9" w:rsidRPr="00F10D39">
        <w:rPr>
          <w:sz w:val="20"/>
          <w:szCs w:val="20"/>
        </w:rPr>
        <w:t xml:space="preserve">lower hurdle rate </w:t>
      </w:r>
      <w:r w:rsidR="00A50F8B" w:rsidRPr="00F10D39">
        <w:rPr>
          <w:sz w:val="20"/>
          <w:szCs w:val="20"/>
        </w:rPr>
        <w:t xml:space="preserve">be used for Target’s credit card cash flows </w:t>
      </w:r>
      <w:r w:rsidR="001D74E9" w:rsidRPr="00F10D39">
        <w:rPr>
          <w:sz w:val="20"/>
          <w:szCs w:val="20"/>
        </w:rPr>
        <w:t xml:space="preserve">because of </w:t>
      </w:r>
      <w:r w:rsidR="00BC2E8C" w:rsidRPr="00F10D39">
        <w:rPr>
          <w:sz w:val="20"/>
          <w:szCs w:val="20"/>
        </w:rPr>
        <w:t>the</w:t>
      </w:r>
      <w:r w:rsidR="001D74E9" w:rsidRPr="00F10D39">
        <w:rPr>
          <w:sz w:val="20"/>
          <w:szCs w:val="20"/>
        </w:rPr>
        <w:t xml:space="preserve"> different set</w:t>
      </w:r>
      <w:r w:rsidR="0086710B">
        <w:rPr>
          <w:sz w:val="20"/>
          <w:szCs w:val="20"/>
        </w:rPr>
        <w:t xml:space="preserve"> of</w:t>
      </w:r>
      <w:r w:rsidR="001D74E9" w:rsidRPr="00F10D39">
        <w:rPr>
          <w:sz w:val="20"/>
          <w:szCs w:val="20"/>
        </w:rPr>
        <w:t xml:space="preserve"> risks </w:t>
      </w:r>
      <w:r w:rsidR="00A50F8B" w:rsidRPr="00F10D39">
        <w:rPr>
          <w:sz w:val="20"/>
          <w:szCs w:val="20"/>
        </w:rPr>
        <w:t xml:space="preserve">associated with those cash flows.  i.e., </w:t>
      </w:r>
      <w:r w:rsidR="00C9265A">
        <w:rPr>
          <w:sz w:val="20"/>
          <w:szCs w:val="20"/>
        </w:rPr>
        <w:t xml:space="preserve">operationally, to be profitable a </w:t>
      </w:r>
      <w:r w:rsidR="00A50F8B" w:rsidRPr="00F10D39">
        <w:rPr>
          <w:sz w:val="20"/>
          <w:szCs w:val="20"/>
        </w:rPr>
        <w:t xml:space="preserve">store </w:t>
      </w:r>
      <w:r w:rsidR="00BC2E8C" w:rsidRPr="00F10D39">
        <w:rPr>
          <w:sz w:val="20"/>
          <w:szCs w:val="20"/>
        </w:rPr>
        <w:t>must</w:t>
      </w:r>
      <w:r w:rsidR="00A50F8B" w:rsidRPr="00F10D39">
        <w:rPr>
          <w:sz w:val="20"/>
          <w:szCs w:val="20"/>
        </w:rPr>
        <w:t xml:space="preserve"> contend with</w:t>
      </w:r>
      <w:r w:rsidR="00BC2E8C" w:rsidRPr="00F10D39">
        <w:rPr>
          <w:sz w:val="20"/>
          <w:szCs w:val="20"/>
        </w:rPr>
        <w:t>:</w:t>
      </w:r>
    </w:p>
    <w:p w14:paraId="0D9D0B3A" w14:textId="77777777" w:rsidR="00875C71" w:rsidRDefault="00875C71" w:rsidP="00B644D0">
      <w:pPr>
        <w:spacing w:after="0" w:line="240" w:lineRule="auto"/>
        <w:ind w:left="-720" w:right="-720"/>
        <w:jc w:val="both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8"/>
        <w:gridCol w:w="1965"/>
      </w:tblGrid>
      <w:tr w:rsidR="00F10D39" w:rsidRPr="00F10D39" w14:paraId="7DFD26A0" w14:textId="77777777" w:rsidTr="00F10D39">
        <w:trPr>
          <w:jc w:val="center"/>
        </w:trPr>
        <w:tc>
          <w:tcPr>
            <w:tcW w:w="0" w:type="auto"/>
          </w:tcPr>
          <w:p w14:paraId="69DD96DF" w14:textId="77777777" w:rsidR="00F10D39" w:rsidRPr="00F10D39" w:rsidRDefault="00F10D39" w:rsidP="00F10D39">
            <w:pPr>
              <w:pStyle w:val="ListParagraph"/>
              <w:numPr>
                <w:ilvl w:val="0"/>
                <w:numId w:val="6"/>
              </w:numPr>
              <w:ind w:left="-720" w:right="-720" w:firstLine="450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F10D39">
              <w:rPr>
                <w:b/>
                <w:bCs/>
                <w:i/>
                <w:iCs/>
                <w:sz w:val="18"/>
                <w:szCs w:val="18"/>
              </w:rPr>
              <w:t>Employee theft</w:t>
            </w:r>
          </w:p>
        </w:tc>
        <w:tc>
          <w:tcPr>
            <w:tcW w:w="0" w:type="auto"/>
          </w:tcPr>
          <w:p w14:paraId="74F1DECC" w14:textId="77777777" w:rsidR="00F10D39" w:rsidRPr="00F10D39" w:rsidRDefault="00F10D39" w:rsidP="00F10D39">
            <w:pPr>
              <w:pStyle w:val="ListParagraph"/>
              <w:numPr>
                <w:ilvl w:val="0"/>
                <w:numId w:val="6"/>
              </w:numPr>
              <w:ind w:left="-720" w:right="-720" w:firstLine="450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F10D39">
              <w:rPr>
                <w:b/>
                <w:bCs/>
                <w:i/>
                <w:iCs/>
                <w:sz w:val="18"/>
                <w:szCs w:val="18"/>
              </w:rPr>
              <w:t>Inventory spoilage</w:t>
            </w:r>
          </w:p>
        </w:tc>
      </w:tr>
      <w:tr w:rsidR="00F10D39" w:rsidRPr="00F10D39" w14:paraId="2DFD2F26" w14:textId="77777777" w:rsidTr="00F10D39">
        <w:trPr>
          <w:jc w:val="center"/>
        </w:trPr>
        <w:tc>
          <w:tcPr>
            <w:tcW w:w="0" w:type="auto"/>
          </w:tcPr>
          <w:p w14:paraId="73BFC554" w14:textId="71FCB208" w:rsidR="00F10D39" w:rsidRPr="00F10D39" w:rsidRDefault="00F10D39" w:rsidP="00F10D39">
            <w:pPr>
              <w:pStyle w:val="ListParagraph"/>
              <w:numPr>
                <w:ilvl w:val="0"/>
                <w:numId w:val="6"/>
              </w:numPr>
              <w:ind w:left="-720" w:right="-720" w:firstLine="450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F10D39">
              <w:rPr>
                <w:b/>
                <w:bCs/>
                <w:i/>
                <w:iCs/>
                <w:sz w:val="18"/>
                <w:szCs w:val="18"/>
              </w:rPr>
              <w:t>Facilities maintenance</w:t>
            </w:r>
            <w:r w:rsidR="00D766E2">
              <w:rPr>
                <w:b/>
                <w:bCs/>
                <w:i/>
                <w:iCs/>
                <w:sz w:val="18"/>
                <w:szCs w:val="18"/>
              </w:rPr>
              <w:t xml:space="preserve"> costs</w:t>
            </w:r>
          </w:p>
        </w:tc>
        <w:tc>
          <w:tcPr>
            <w:tcW w:w="0" w:type="auto"/>
          </w:tcPr>
          <w:p w14:paraId="1F021570" w14:textId="6444B375" w:rsidR="00F10D39" w:rsidRPr="00F10D39" w:rsidRDefault="00F10D39" w:rsidP="00F10D39">
            <w:pPr>
              <w:pStyle w:val="ListParagraph"/>
              <w:numPr>
                <w:ilvl w:val="0"/>
                <w:numId w:val="6"/>
              </w:numPr>
              <w:ind w:left="-720" w:right="-720" w:firstLine="450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F10D39">
              <w:rPr>
                <w:b/>
                <w:bCs/>
                <w:i/>
                <w:iCs/>
                <w:sz w:val="18"/>
                <w:szCs w:val="18"/>
              </w:rPr>
              <w:t>Increase</w:t>
            </w:r>
            <w:r w:rsidR="001912A3">
              <w:rPr>
                <w:b/>
                <w:bCs/>
                <w:i/>
                <w:iCs/>
                <w:sz w:val="18"/>
                <w:szCs w:val="18"/>
              </w:rPr>
              <w:t>d</w:t>
            </w:r>
            <w:r w:rsidRPr="00F10D39">
              <w:rPr>
                <w:b/>
                <w:bCs/>
                <w:i/>
                <w:iCs/>
                <w:sz w:val="18"/>
                <w:szCs w:val="18"/>
              </w:rPr>
              <w:t xml:space="preserve"> competition</w:t>
            </w:r>
          </w:p>
        </w:tc>
      </w:tr>
      <w:tr w:rsidR="00F10D39" w:rsidRPr="00F10D39" w14:paraId="1410CE16" w14:textId="77777777" w:rsidTr="00F10D39">
        <w:trPr>
          <w:jc w:val="center"/>
        </w:trPr>
        <w:tc>
          <w:tcPr>
            <w:tcW w:w="0" w:type="auto"/>
          </w:tcPr>
          <w:p w14:paraId="650686E4" w14:textId="0646C6C9" w:rsidR="00F10D39" w:rsidRPr="00F10D39" w:rsidRDefault="00F10D39" w:rsidP="00F10D39">
            <w:pPr>
              <w:pStyle w:val="ListParagraph"/>
              <w:numPr>
                <w:ilvl w:val="0"/>
                <w:numId w:val="6"/>
              </w:numPr>
              <w:ind w:left="-720" w:right="-720" w:firstLine="450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F10D39">
              <w:rPr>
                <w:b/>
                <w:bCs/>
                <w:i/>
                <w:iCs/>
                <w:sz w:val="18"/>
                <w:szCs w:val="18"/>
              </w:rPr>
              <w:t>Demographic shifts</w:t>
            </w:r>
          </w:p>
        </w:tc>
        <w:tc>
          <w:tcPr>
            <w:tcW w:w="0" w:type="auto"/>
          </w:tcPr>
          <w:p w14:paraId="4671BA9C" w14:textId="160F0A0D" w:rsidR="00F10D39" w:rsidRPr="00F10D39" w:rsidRDefault="001912A3" w:rsidP="00F10D39">
            <w:pPr>
              <w:pStyle w:val="ListParagraph"/>
              <w:numPr>
                <w:ilvl w:val="0"/>
                <w:numId w:val="6"/>
              </w:numPr>
              <w:ind w:left="-720" w:right="-720" w:firstLine="450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Customer theft</w:t>
            </w:r>
          </w:p>
        </w:tc>
      </w:tr>
    </w:tbl>
    <w:p w14:paraId="5EFB5F33" w14:textId="77777777" w:rsidR="00B644D0" w:rsidRDefault="00B644D0" w:rsidP="00875C71">
      <w:pPr>
        <w:spacing w:after="0" w:line="240" w:lineRule="auto"/>
        <w:ind w:left="-720" w:right="-720"/>
        <w:jc w:val="both"/>
        <w:rPr>
          <w:sz w:val="20"/>
          <w:szCs w:val="20"/>
        </w:rPr>
      </w:pPr>
    </w:p>
    <w:p w14:paraId="606B12E0" w14:textId="51F7FEF8" w:rsidR="001E7FAF" w:rsidRPr="00F10D39" w:rsidRDefault="00BC2E8C" w:rsidP="00F10D39">
      <w:pPr>
        <w:spacing w:line="240" w:lineRule="auto"/>
        <w:ind w:left="-720" w:right="-720"/>
        <w:jc w:val="both"/>
        <w:rPr>
          <w:sz w:val="20"/>
          <w:szCs w:val="20"/>
        </w:rPr>
      </w:pPr>
      <w:r w:rsidRPr="00F10D39">
        <w:rPr>
          <w:sz w:val="20"/>
          <w:szCs w:val="20"/>
        </w:rPr>
        <w:t xml:space="preserve">As the credit card business does not have the same fundamental risks as a Target store, it is appropriate to discount the incremental cash flows associated with that business at a rate that is </w:t>
      </w:r>
      <w:r w:rsidR="008517E7">
        <w:rPr>
          <w:sz w:val="20"/>
          <w:szCs w:val="20"/>
        </w:rPr>
        <w:t>proportionate to</w:t>
      </w:r>
      <w:r w:rsidRPr="00F10D39">
        <w:rPr>
          <w:sz w:val="20"/>
          <w:szCs w:val="20"/>
        </w:rPr>
        <w:t xml:space="preserve"> those risks, and in this case that rate is 4%. </w:t>
      </w:r>
    </w:p>
    <w:p w14:paraId="47092559" w14:textId="2A903911" w:rsidR="00FC047C" w:rsidRPr="00F10D39" w:rsidRDefault="00FC047C" w:rsidP="00F10D39">
      <w:pPr>
        <w:spacing w:line="240" w:lineRule="auto"/>
        <w:ind w:left="-720" w:right="-720"/>
        <w:jc w:val="both"/>
        <w:rPr>
          <w:sz w:val="20"/>
          <w:szCs w:val="20"/>
        </w:rPr>
      </w:pPr>
      <w:r>
        <w:t>3</w:t>
      </w:r>
      <w:r w:rsidR="00D03B7D">
        <w:t xml:space="preserve">.  </w:t>
      </w:r>
      <w:r w:rsidR="00372C9E">
        <w:t>The Goldie’s Square proposal should be rejected, because the NPV of the project is to</w:t>
      </w:r>
      <w:r w:rsidR="0086710B">
        <w:t>o</w:t>
      </w:r>
      <w:r w:rsidR="00372C9E">
        <w:t xml:space="preserve"> low to absorb any deviation in sales to the downside</w:t>
      </w:r>
      <w:r w:rsidR="000A0525">
        <w:t xml:space="preserve"> (exhibit 6)</w:t>
      </w:r>
      <w:r w:rsidR="00372C9E">
        <w:t xml:space="preserve">.  </w:t>
      </w:r>
      <w:r w:rsidR="00930CF3">
        <w:t>W</w:t>
      </w:r>
      <w:r w:rsidR="000471D5">
        <w:rPr>
          <w:sz w:val="20"/>
          <w:szCs w:val="20"/>
        </w:rPr>
        <w:t xml:space="preserve">ithout </w:t>
      </w:r>
      <w:r w:rsidR="002B2B42">
        <w:rPr>
          <w:sz w:val="20"/>
          <w:szCs w:val="20"/>
        </w:rPr>
        <w:t xml:space="preserve">real options </w:t>
      </w:r>
      <w:r w:rsidR="00573F7C">
        <w:rPr>
          <w:sz w:val="20"/>
          <w:szCs w:val="20"/>
        </w:rPr>
        <w:t xml:space="preserve">being factored into </w:t>
      </w:r>
      <w:r w:rsidR="000471D5">
        <w:rPr>
          <w:sz w:val="20"/>
          <w:szCs w:val="20"/>
        </w:rPr>
        <w:t xml:space="preserve">the NPV </w:t>
      </w:r>
      <w:r w:rsidR="00573F7C">
        <w:rPr>
          <w:sz w:val="20"/>
          <w:szCs w:val="20"/>
        </w:rPr>
        <w:t xml:space="preserve">calculation </w:t>
      </w:r>
      <w:r w:rsidR="000471D5">
        <w:rPr>
          <w:sz w:val="20"/>
          <w:szCs w:val="20"/>
        </w:rPr>
        <w:t>of the project</w:t>
      </w:r>
      <w:r w:rsidR="002D4D42">
        <w:rPr>
          <w:sz w:val="20"/>
          <w:szCs w:val="20"/>
        </w:rPr>
        <w:t>,</w:t>
      </w:r>
      <w:r w:rsidR="000471D5">
        <w:rPr>
          <w:sz w:val="20"/>
          <w:szCs w:val="20"/>
        </w:rPr>
        <w:t xml:space="preserve"> </w:t>
      </w:r>
      <w:r w:rsidR="00573F7C">
        <w:rPr>
          <w:sz w:val="20"/>
          <w:szCs w:val="20"/>
        </w:rPr>
        <w:t xml:space="preserve">the base case NPV </w:t>
      </w:r>
      <w:r w:rsidR="00930CF3">
        <w:rPr>
          <w:sz w:val="20"/>
          <w:szCs w:val="20"/>
        </w:rPr>
        <w:lastRenderedPageBreak/>
        <w:t>is not</w:t>
      </w:r>
      <w:r w:rsidR="000471D5">
        <w:rPr>
          <w:sz w:val="20"/>
          <w:szCs w:val="20"/>
        </w:rPr>
        <w:t xml:space="preserve"> high enough </w:t>
      </w:r>
      <w:r w:rsidR="00930CF3">
        <w:rPr>
          <w:sz w:val="20"/>
          <w:szCs w:val="20"/>
        </w:rPr>
        <w:t xml:space="preserve">to </w:t>
      </w:r>
      <w:r w:rsidR="00573F7C">
        <w:rPr>
          <w:sz w:val="20"/>
          <w:szCs w:val="20"/>
        </w:rPr>
        <w:t>have confidence</w:t>
      </w:r>
      <w:r w:rsidR="00930CF3">
        <w:rPr>
          <w:sz w:val="20"/>
          <w:szCs w:val="20"/>
        </w:rPr>
        <w:t xml:space="preserve"> </w:t>
      </w:r>
      <w:r w:rsidR="0086710B">
        <w:rPr>
          <w:sz w:val="20"/>
          <w:szCs w:val="20"/>
        </w:rPr>
        <w:t xml:space="preserve">that </w:t>
      </w:r>
      <w:r w:rsidR="00930CF3">
        <w:rPr>
          <w:sz w:val="20"/>
          <w:szCs w:val="20"/>
        </w:rPr>
        <w:t xml:space="preserve">a fast-growing population will translate into the sales as they are </w:t>
      </w:r>
      <w:r w:rsidR="00311880">
        <w:rPr>
          <w:sz w:val="20"/>
          <w:szCs w:val="20"/>
        </w:rPr>
        <w:t>anticipated</w:t>
      </w:r>
      <w:r w:rsidR="00930CF3">
        <w:rPr>
          <w:sz w:val="20"/>
          <w:szCs w:val="20"/>
        </w:rPr>
        <w:t xml:space="preserve"> in the CPR</w:t>
      </w:r>
      <w:r w:rsidRPr="00F10D39">
        <w:rPr>
          <w:sz w:val="20"/>
          <w:szCs w:val="20"/>
        </w:rPr>
        <w:t xml:space="preserve">.  </w:t>
      </w:r>
      <w:r w:rsidR="00930CF3">
        <w:rPr>
          <w:sz w:val="20"/>
          <w:szCs w:val="20"/>
        </w:rPr>
        <w:t>Additionally,</w:t>
      </w:r>
      <w:r w:rsidR="00400D69">
        <w:rPr>
          <w:sz w:val="20"/>
          <w:szCs w:val="20"/>
        </w:rPr>
        <w:t xml:space="preserve"> </w:t>
      </w:r>
      <w:r w:rsidR="00400D69" w:rsidRPr="000A2CDE">
        <w:rPr>
          <w:sz w:val="20"/>
          <w:szCs w:val="20"/>
          <w:u w:val="single"/>
        </w:rPr>
        <w:t>the failure of a Super Target would be high profile</w:t>
      </w:r>
      <w:r w:rsidR="00400D69">
        <w:rPr>
          <w:sz w:val="20"/>
          <w:szCs w:val="20"/>
        </w:rPr>
        <w:t xml:space="preserve"> and </w:t>
      </w:r>
      <w:r w:rsidR="002D4D42">
        <w:rPr>
          <w:sz w:val="20"/>
          <w:szCs w:val="20"/>
        </w:rPr>
        <w:t>would</w:t>
      </w:r>
      <w:r w:rsidR="00400D69">
        <w:rPr>
          <w:sz w:val="20"/>
          <w:szCs w:val="20"/>
        </w:rPr>
        <w:t xml:space="preserve"> tarnish the brand</w:t>
      </w:r>
      <w:r w:rsidR="000A0525">
        <w:rPr>
          <w:sz w:val="20"/>
          <w:szCs w:val="20"/>
        </w:rPr>
        <w:t xml:space="preserve"> </w:t>
      </w:r>
      <w:r w:rsidR="0086710B">
        <w:rPr>
          <w:sz w:val="20"/>
          <w:szCs w:val="20"/>
        </w:rPr>
        <w:t>beyond</w:t>
      </w:r>
      <w:r w:rsidR="000A0525">
        <w:rPr>
          <w:sz w:val="20"/>
          <w:szCs w:val="20"/>
        </w:rPr>
        <w:t xml:space="preserve"> that of a traditional Target store</w:t>
      </w:r>
      <w:r w:rsidR="00573F7C">
        <w:rPr>
          <w:sz w:val="20"/>
          <w:szCs w:val="20"/>
        </w:rPr>
        <w:t xml:space="preserve"> closure.</w:t>
      </w:r>
      <w:r w:rsidR="00400D69">
        <w:rPr>
          <w:sz w:val="20"/>
          <w:szCs w:val="20"/>
        </w:rPr>
        <w:t xml:space="preserve">  </w:t>
      </w:r>
      <w:r w:rsidR="002D4D42">
        <w:rPr>
          <w:sz w:val="20"/>
          <w:szCs w:val="20"/>
        </w:rPr>
        <w:t>To restate, t</w:t>
      </w:r>
      <w:r w:rsidRPr="00F10D39">
        <w:rPr>
          <w:sz w:val="20"/>
          <w:szCs w:val="20"/>
        </w:rPr>
        <w:t>he</w:t>
      </w:r>
      <w:r w:rsidR="006F6CED" w:rsidRPr="00F10D39">
        <w:rPr>
          <w:sz w:val="20"/>
          <w:szCs w:val="20"/>
        </w:rPr>
        <w:t xml:space="preserve"> CPR</w:t>
      </w:r>
      <w:r w:rsidRPr="00F10D39">
        <w:rPr>
          <w:sz w:val="20"/>
          <w:szCs w:val="20"/>
        </w:rPr>
        <w:t xml:space="preserve"> </w:t>
      </w:r>
      <w:r w:rsidR="00716489" w:rsidRPr="00F10D39">
        <w:rPr>
          <w:sz w:val="20"/>
          <w:szCs w:val="20"/>
        </w:rPr>
        <w:t>does</w:t>
      </w:r>
      <w:r w:rsidR="00716489">
        <w:rPr>
          <w:sz w:val="20"/>
          <w:szCs w:val="20"/>
        </w:rPr>
        <w:t xml:space="preserve"> not</w:t>
      </w:r>
      <w:r w:rsidR="001923E4" w:rsidRPr="00F10D39">
        <w:rPr>
          <w:sz w:val="20"/>
          <w:szCs w:val="20"/>
        </w:rPr>
        <w:t xml:space="preserve"> </w:t>
      </w:r>
      <w:r w:rsidR="00573F7C">
        <w:rPr>
          <w:sz w:val="20"/>
          <w:szCs w:val="20"/>
        </w:rPr>
        <w:t>sufficiently</w:t>
      </w:r>
      <w:r w:rsidRPr="00F10D39">
        <w:rPr>
          <w:sz w:val="20"/>
          <w:szCs w:val="20"/>
        </w:rPr>
        <w:t xml:space="preserve"> quan</w:t>
      </w:r>
      <w:r w:rsidR="0047689B" w:rsidRPr="00F10D39">
        <w:rPr>
          <w:sz w:val="20"/>
          <w:szCs w:val="20"/>
        </w:rPr>
        <w:t xml:space="preserve">tify the subjective </w:t>
      </w:r>
      <w:r w:rsidR="00BC2E8C" w:rsidRPr="00F10D39">
        <w:rPr>
          <w:sz w:val="20"/>
          <w:szCs w:val="20"/>
        </w:rPr>
        <w:t>aspects</w:t>
      </w:r>
      <w:r w:rsidR="0047689B" w:rsidRPr="00F10D39">
        <w:rPr>
          <w:sz w:val="20"/>
          <w:szCs w:val="20"/>
        </w:rPr>
        <w:t xml:space="preserve"> </w:t>
      </w:r>
      <w:r w:rsidR="001923E4" w:rsidRPr="00F10D39">
        <w:rPr>
          <w:sz w:val="20"/>
          <w:szCs w:val="20"/>
        </w:rPr>
        <w:t xml:space="preserve">of the Goldie’s Square </w:t>
      </w:r>
      <w:r w:rsidR="006F6CED" w:rsidRPr="00F10D39">
        <w:rPr>
          <w:sz w:val="20"/>
          <w:szCs w:val="20"/>
        </w:rPr>
        <w:t>proposal</w:t>
      </w:r>
      <w:r w:rsidR="00FE639F" w:rsidRPr="00F10D39">
        <w:rPr>
          <w:sz w:val="20"/>
          <w:szCs w:val="20"/>
        </w:rPr>
        <w:t xml:space="preserve">, i.e., a </w:t>
      </w:r>
      <w:r w:rsidR="00BC2E8C" w:rsidRPr="00F10D39">
        <w:rPr>
          <w:sz w:val="20"/>
          <w:szCs w:val="20"/>
        </w:rPr>
        <w:t>fast-growing</w:t>
      </w:r>
      <w:r w:rsidR="00FE639F" w:rsidRPr="00F10D39">
        <w:rPr>
          <w:sz w:val="20"/>
          <w:szCs w:val="20"/>
        </w:rPr>
        <w:t xml:space="preserve"> </w:t>
      </w:r>
      <w:r w:rsidR="00930CF3" w:rsidRPr="00F10D39">
        <w:rPr>
          <w:sz w:val="20"/>
          <w:szCs w:val="20"/>
        </w:rPr>
        <w:t>population</w:t>
      </w:r>
      <w:r w:rsidR="00930CF3">
        <w:rPr>
          <w:sz w:val="20"/>
          <w:szCs w:val="20"/>
        </w:rPr>
        <w:t>,</w:t>
      </w:r>
      <w:r w:rsidR="00930CF3" w:rsidRPr="00F10D39">
        <w:rPr>
          <w:sz w:val="20"/>
          <w:szCs w:val="20"/>
        </w:rPr>
        <w:t xml:space="preserve"> good</w:t>
      </w:r>
      <w:r w:rsidR="00FE639F" w:rsidRPr="00F10D39">
        <w:rPr>
          <w:sz w:val="20"/>
          <w:szCs w:val="20"/>
        </w:rPr>
        <w:t xml:space="preserve"> brand awareness</w:t>
      </w:r>
      <w:r w:rsidR="00930CF3">
        <w:rPr>
          <w:sz w:val="20"/>
          <w:szCs w:val="20"/>
        </w:rPr>
        <w:t xml:space="preserve"> and sales growth</w:t>
      </w:r>
      <w:r w:rsidR="001923E4" w:rsidRPr="00F10D39">
        <w:rPr>
          <w:sz w:val="20"/>
          <w:szCs w:val="20"/>
        </w:rPr>
        <w:t>.  From the text, we read:</w:t>
      </w:r>
    </w:p>
    <w:p w14:paraId="36D3AA8F" w14:textId="4C611F97" w:rsidR="001923E4" w:rsidRPr="00064E0F" w:rsidRDefault="001923E4" w:rsidP="00064E0F">
      <w:pPr>
        <w:spacing w:line="240" w:lineRule="auto"/>
        <w:ind w:left="-180" w:right="-180"/>
        <w:jc w:val="both"/>
        <w:rPr>
          <w:i/>
          <w:iCs/>
          <w:sz w:val="18"/>
          <w:szCs w:val="18"/>
        </w:rPr>
      </w:pPr>
      <w:r w:rsidRPr="00064E0F">
        <w:rPr>
          <w:i/>
          <w:iCs/>
          <w:sz w:val="18"/>
          <w:szCs w:val="18"/>
        </w:rPr>
        <w:t>“…</w:t>
      </w:r>
      <w:r w:rsidRPr="000471D5">
        <w:rPr>
          <w:i/>
          <w:iCs/>
          <w:sz w:val="18"/>
          <w:szCs w:val="18"/>
        </w:rPr>
        <w:t xml:space="preserve">Despite the relatively weak NPV figures, this was a hotly contested area with an affluent and fast-growing population, which could afford good brand awareness </w:t>
      </w:r>
      <w:r w:rsidRPr="00372C9E">
        <w:rPr>
          <w:i/>
          <w:iCs/>
          <w:sz w:val="18"/>
          <w:szCs w:val="18"/>
          <w:u w:val="single"/>
        </w:rPr>
        <w:t>should the growth materialize</w:t>
      </w:r>
      <w:r w:rsidRPr="00064E0F">
        <w:rPr>
          <w:i/>
          <w:iCs/>
          <w:sz w:val="18"/>
          <w:szCs w:val="18"/>
        </w:rPr>
        <w:t>.”</w:t>
      </w:r>
    </w:p>
    <w:p w14:paraId="4A131C7A" w14:textId="7B205ED5" w:rsidR="006F6CED" w:rsidRPr="00F10D39" w:rsidRDefault="0057030E" w:rsidP="00F10D39">
      <w:pPr>
        <w:spacing w:line="240" w:lineRule="auto"/>
        <w:ind w:left="-720" w:right="-720"/>
        <w:jc w:val="both"/>
        <w:rPr>
          <w:sz w:val="20"/>
          <w:szCs w:val="20"/>
        </w:rPr>
      </w:pPr>
      <w:r w:rsidRPr="00F10D39">
        <w:rPr>
          <w:sz w:val="20"/>
          <w:szCs w:val="20"/>
        </w:rPr>
        <w:t>A decision-tree</w:t>
      </w:r>
      <w:r w:rsidR="00401BDA">
        <w:rPr>
          <w:sz w:val="20"/>
          <w:szCs w:val="20"/>
        </w:rPr>
        <w:t xml:space="preserve">, simulation or </w:t>
      </w:r>
      <w:r w:rsidR="0086710B">
        <w:rPr>
          <w:sz w:val="20"/>
          <w:szCs w:val="20"/>
        </w:rPr>
        <w:t>M</w:t>
      </w:r>
      <w:r w:rsidR="00401BDA">
        <w:rPr>
          <w:sz w:val="20"/>
          <w:szCs w:val="20"/>
        </w:rPr>
        <w:t>onte-</w:t>
      </w:r>
      <w:r w:rsidR="0086710B">
        <w:rPr>
          <w:sz w:val="20"/>
          <w:szCs w:val="20"/>
        </w:rPr>
        <w:t>Carlo</w:t>
      </w:r>
      <w:r w:rsidR="00401BDA">
        <w:rPr>
          <w:sz w:val="20"/>
          <w:szCs w:val="20"/>
        </w:rPr>
        <w:t xml:space="preserve"> analysis</w:t>
      </w:r>
      <w:r w:rsidRPr="00F10D39">
        <w:rPr>
          <w:sz w:val="20"/>
          <w:szCs w:val="20"/>
        </w:rPr>
        <w:t xml:space="preserve"> that incorporated the </w:t>
      </w:r>
      <w:r w:rsidR="0086710B">
        <w:rPr>
          <w:sz w:val="20"/>
          <w:szCs w:val="20"/>
        </w:rPr>
        <w:t>impact that</w:t>
      </w:r>
      <w:r w:rsidRPr="00F10D39">
        <w:rPr>
          <w:sz w:val="20"/>
          <w:szCs w:val="20"/>
        </w:rPr>
        <w:t xml:space="preserve"> </w:t>
      </w:r>
      <w:r w:rsidR="002D4D42">
        <w:rPr>
          <w:sz w:val="20"/>
          <w:szCs w:val="20"/>
        </w:rPr>
        <w:t xml:space="preserve">these </w:t>
      </w:r>
      <w:r w:rsidRPr="00F10D39">
        <w:rPr>
          <w:sz w:val="20"/>
          <w:szCs w:val="20"/>
        </w:rPr>
        <w:t>effect</w:t>
      </w:r>
      <w:r w:rsidR="002D4D42">
        <w:rPr>
          <w:sz w:val="20"/>
          <w:szCs w:val="20"/>
        </w:rPr>
        <w:t>s</w:t>
      </w:r>
      <w:r w:rsidRPr="00F10D39">
        <w:rPr>
          <w:sz w:val="20"/>
          <w:szCs w:val="20"/>
        </w:rPr>
        <w:t xml:space="preserve"> would have on the project’s NPV would assist the CEC better evaluate this proposal.</w:t>
      </w:r>
      <w:r w:rsidR="006807C2" w:rsidRPr="00F10D39">
        <w:rPr>
          <w:sz w:val="20"/>
          <w:szCs w:val="20"/>
        </w:rPr>
        <w:t xml:space="preserve">  Without </w:t>
      </w:r>
      <w:r w:rsidR="0086710B">
        <w:rPr>
          <w:sz w:val="20"/>
          <w:szCs w:val="20"/>
        </w:rPr>
        <w:t xml:space="preserve">employing some </w:t>
      </w:r>
      <w:r w:rsidR="00753B6E">
        <w:rPr>
          <w:sz w:val="20"/>
          <w:szCs w:val="20"/>
        </w:rPr>
        <w:t>method of looking at multiple future outcomes</w:t>
      </w:r>
      <w:r w:rsidR="006807C2" w:rsidRPr="00F10D39">
        <w:rPr>
          <w:sz w:val="20"/>
          <w:szCs w:val="20"/>
        </w:rPr>
        <w:t>, this project should be rejected</w:t>
      </w:r>
      <w:r w:rsidR="004C7623">
        <w:rPr>
          <w:sz w:val="20"/>
          <w:szCs w:val="20"/>
        </w:rPr>
        <w:t xml:space="preserve"> because</w:t>
      </w:r>
      <w:r w:rsidR="0086710B">
        <w:rPr>
          <w:sz w:val="20"/>
          <w:szCs w:val="20"/>
        </w:rPr>
        <w:t xml:space="preserve"> of the low base-case NPV</w:t>
      </w:r>
      <w:r w:rsidR="006807C2" w:rsidRPr="00F10D39">
        <w:rPr>
          <w:sz w:val="20"/>
          <w:szCs w:val="20"/>
        </w:rPr>
        <w:t>.</w:t>
      </w:r>
    </w:p>
    <w:p w14:paraId="2991FD82" w14:textId="57406DF0" w:rsidR="001E646F" w:rsidRDefault="00FC047C" w:rsidP="00F10D39">
      <w:pPr>
        <w:spacing w:line="240" w:lineRule="auto"/>
        <w:ind w:left="-720" w:right="-720"/>
        <w:jc w:val="both"/>
      </w:pPr>
      <w:r>
        <w:t>4.</w:t>
      </w:r>
      <w:r w:rsidR="001E646F">
        <w:t xml:space="preserve">The option to expand, to abandon </w:t>
      </w:r>
      <w:r w:rsidR="006138B3">
        <w:t>as well as the impact sales</w:t>
      </w:r>
      <w:r w:rsidR="00015E3C">
        <w:t xml:space="preserve"> and costs variations</w:t>
      </w:r>
      <w:r w:rsidR="006138B3">
        <w:t xml:space="preserve"> </w:t>
      </w:r>
      <w:r w:rsidR="00015E3C">
        <w:t xml:space="preserve">would </w:t>
      </w:r>
      <w:r w:rsidR="006138B3">
        <w:t>have on a project are incorporated into Target’s Capital Project Requests.  However, these</w:t>
      </w:r>
      <w:r w:rsidR="001E646F">
        <w:t xml:space="preserve"> </w:t>
      </w:r>
      <w:r w:rsidR="009C7310">
        <w:t xml:space="preserve">real </w:t>
      </w:r>
      <w:r w:rsidR="001E646F">
        <w:t xml:space="preserve">options are </w:t>
      </w:r>
      <w:r w:rsidR="006138B3">
        <w:t>not assigned a</w:t>
      </w:r>
      <w:r w:rsidR="001E646F">
        <w:t xml:space="preserve"> </w:t>
      </w:r>
      <w:r w:rsidR="002B3310">
        <w:t>probability</w:t>
      </w:r>
      <w:r w:rsidR="001E646F">
        <w:t xml:space="preserve"> of occurrence.  </w:t>
      </w:r>
      <w:r w:rsidR="006138B3">
        <w:t xml:space="preserve">Quantifying the </w:t>
      </w:r>
      <w:r w:rsidR="001E646F">
        <w:t xml:space="preserve">likelihood </w:t>
      </w:r>
      <w:r w:rsidR="00015E3C">
        <w:t>of these risks/opportunities</w:t>
      </w:r>
      <w:r w:rsidR="00A852FD">
        <w:t xml:space="preserve"> </w:t>
      </w:r>
      <w:r w:rsidR="002C0089">
        <w:t>would be</w:t>
      </w:r>
      <w:r w:rsidR="00A852FD">
        <w:t xml:space="preserve"> necessary to accurately predict </w:t>
      </w:r>
      <w:r w:rsidR="002C0089">
        <w:t>a project</w:t>
      </w:r>
      <w:r w:rsidR="00347D01">
        <w:t>’</w:t>
      </w:r>
      <w:r w:rsidR="002C0089">
        <w:t xml:space="preserve">s </w:t>
      </w:r>
      <w:r w:rsidR="00A852FD">
        <w:t>NPV</w:t>
      </w:r>
      <w:r w:rsidR="00D03B7D">
        <w:t xml:space="preserve"> </w:t>
      </w:r>
      <w:r w:rsidR="00851693">
        <w:t>under</w:t>
      </w:r>
      <w:r w:rsidR="002C0089">
        <w:t xml:space="preserve"> </w:t>
      </w:r>
      <w:r w:rsidR="009C7310">
        <w:t xml:space="preserve">multiple future scenarios </w:t>
      </w:r>
      <w:r w:rsidR="00D03B7D">
        <w:t xml:space="preserve">and </w:t>
      </w:r>
      <w:r w:rsidR="00372C9E">
        <w:t xml:space="preserve">would assist in </w:t>
      </w:r>
      <w:r w:rsidR="00D03B7D">
        <w:t>maximiz</w:t>
      </w:r>
      <w:r w:rsidR="00372C9E">
        <w:t>ing</w:t>
      </w:r>
      <w:r w:rsidR="00D03B7D">
        <w:t xml:space="preserve"> shareholder </w:t>
      </w:r>
      <w:r w:rsidR="00B3065F">
        <w:t>value</w:t>
      </w:r>
      <w:r w:rsidR="00A852FD">
        <w:t xml:space="preserve">.  </w:t>
      </w:r>
      <w:r w:rsidR="00B3065F">
        <w:t xml:space="preserve">As evidence of this, </w:t>
      </w:r>
      <w:r w:rsidR="001E646F">
        <w:t>we read:</w:t>
      </w:r>
    </w:p>
    <w:p w14:paraId="60B72FC1" w14:textId="77777777" w:rsidR="001E646F" w:rsidRPr="006F364A" w:rsidRDefault="001E646F" w:rsidP="00064E0F">
      <w:pPr>
        <w:spacing w:line="240" w:lineRule="auto"/>
        <w:ind w:left="-180" w:right="-180"/>
        <w:jc w:val="both"/>
        <w:rPr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</w:rPr>
        <w:t>“</w:t>
      </w:r>
      <w:r w:rsidRPr="006F364A">
        <w:rPr>
          <w:i/>
          <w:iCs/>
          <w:sz w:val="18"/>
          <w:szCs w:val="18"/>
        </w:rPr>
        <w:t xml:space="preserve">Smaller stores often offered a higher NPV; but the NPV estimate </w:t>
      </w:r>
      <w:r w:rsidRPr="006F364A">
        <w:rPr>
          <w:i/>
          <w:iCs/>
          <w:sz w:val="18"/>
          <w:szCs w:val="18"/>
          <w:u w:val="single"/>
        </w:rPr>
        <w:t>did not consider the effect of future upgrades or expansions that would be required if the surrounding communities grew, nor the advantage of opening a larger store in an area where it could serve the purpose of blocking competitors from opening stores nearby.</w:t>
      </w:r>
      <w:r>
        <w:rPr>
          <w:i/>
          <w:iCs/>
          <w:sz w:val="18"/>
          <w:szCs w:val="18"/>
          <w:u w:val="single"/>
        </w:rPr>
        <w:t>”</w:t>
      </w:r>
    </w:p>
    <w:p w14:paraId="7752D0DF" w14:textId="697563B0" w:rsidR="00FC047C" w:rsidRDefault="00A852FD" w:rsidP="00F10D39">
      <w:pPr>
        <w:spacing w:line="240" w:lineRule="auto"/>
        <w:ind w:left="-720" w:right="-720"/>
        <w:jc w:val="both"/>
      </w:pPr>
      <w:r>
        <w:t>Additionally,</w:t>
      </w:r>
    </w:p>
    <w:p w14:paraId="53890C0B" w14:textId="11E48854" w:rsidR="002D0C47" w:rsidRPr="006F364A" w:rsidRDefault="006F364A" w:rsidP="00064E0F">
      <w:pPr>
        <w:spacing w:line="240" w:lineRule="auto"/>
        <w:ind w:left="-180" w:right="-18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“</w:t>
      </w:r>
      <w:r w:rsidR="002D0C47" w:rsidRPr="006F364A">
        <w:rPr>
          <w:i/>
          <w:iCs/>
          <w:sz w:val="18"/>
          <w:szCs w:val="18"/>
        </w:rPr>
        <w:t xml:space="preserve">The analysis of a new store included incremental cash flow projections </w:t>
      </w:r>
      <w:r w:rsidR="002D0C47" w:rsidRPr="00A7254B">
        <w:rPr>
          <w:b/>
          <w:bCs/>
          <w:i/>
          <w:iCs/>
          <w:sz w:val="18"/>
          <w:szCs w:val="18"/>
          <w:u w:val="single"/>
        </w:rPr>
        <w:t>for 60 years</w:t>
      </w:r>
      <w:r w:rsidR="002D0C47" w:rsidRPr="006F364A">
        <w:rPr>
          <w:i/>
          <w:iCs/>
          <w:sz w:val="18"/>
          <w:szCs w:val="18"/>
        </w:rPr>
        <w:t xml:space="preserve"> over which time </w:t>
      </w:r>
      <w:r w:rsidR="002D0C47" w:rsidRPr="002D522B">
        <w:rPr>
          <w:b/>
          <w:bCs/>
          <w:i/>
          <w:iCs/>
          <w:sz w:val="18"/>
          <w:szCs w:val="18"/>
          <w:u w:val="single"/>
        </w:rPr>
        <w:t>the model included a remodeling of the store every 10 years</w:t>
      </w:r>
      <w:r w:rsidR="002D0C47" w:rsidRPr="006F364A">
        <w:rPr>
          <w:i/>
          <w:iCs/>
          <w:sz w:val="18"/>
          <w:szCs w:val="18"/>
        </w:rPr>
        <w:t>.</w:t>
      </w:r>
      <w:r>
        <w:rPr>
          <w:i/>
          <w:iCs/>
          <w:sz w:val="18"/>
          <w:szCs w:val="18"/>
        </w:rPr>
        <w:t>”</w:t>
      </w:r>
    </w:p>
    <w:p w14:paraId="4B9FF144" w14:textId="31BA9037" w:rsidR="002D0C47" w:rsidRDefault="00A852FD" w:rsidP="009B5A31">
      <w:pPr>
        <w:spacing w:after="0" w:line="240" w:lineRule="auto"/>
        <w:ind w:left="-720" w:right="-720"/>
        <w:jc w:val="both"/>
      </w:pPr>
      <w:r>
        <w:t>I</w:t>
      </w:r>
      <w:r w:rsidR="002D0C47">
        <w:t xml:space="preserve">t </w:t>
      </w:r>
      <w:r w:rsidR="00472582">
        <w:t>is not</w:t>
      </w:r>
      <w:r w:rsidR="002D0C47">
        <w:t xml:space="preserve"> possible to accurately forecast how something is going to perform 30+ years into the future</w:t>
      </w:r>
      <w:r>
        <w:t xml:space="preserve"> without a tremendous amount of uncertainty</w:t>
      </w:r>
      <w:r w:rsidR="002D0C47">
        <w:t xml:space="preserve">.  </w:t>
      </w:r>
      <w:r w:rsidR="00486D96">
        <w:t xml:space="preserve">Thus, </w:t>
      </w:r>
      <w:r w:rsidR="00167FDE" w:rsidRPr="00EA4B0F">
        <w:rPr>
          <w:u w:val="single"/>
        </w:rPr>
        <w:t>Target’s</w:t>
      </w:r>
      <w:r w:rsidR="00486D96" w:rsidRPr="00EA4B0F">
        <w:rPr>
          <w:u w:val="single"/>
        </w:rPr>
        <w:t xml:space="preserve"> capital budgeting process is inadequate</w:t>
      </w:r>
      <w:r w:rsidR="00167FDE">
        <w:t>.  I</w:t>
      </w:r>
      <w:r w:rsidR="00486D96">
        <w:t xml:space="preserve">t should calculate </w:t>
      </w:r>
      <w:r w:rsidR="00167FDE">
        <w:t>each</w:t>
      </w:r>
      <w:r w:rsidR="00486D96">
        <w:t xml:space="preserve"> NPV under the </w:t>
      </w:r>
      <w:r w:rsidR="00167FDE">
        <w:t xml:space="preserve">scenarios outlined in the </w:t>
      </w:r>
      <w:r w:rsidR="00486D96">
        <w:t>risk/opportunity section of the CPR</w:t>
      </w:r>
      <w:r w:rsidR="00167FDE">
        <w:t>, assign a probability of occurrence to the</w:t>
      </w:r>
      <w:r w:rsidR="00EA4B0F">
        <w:t>se</w:t>
      </w:r>
      <w:r w:rsidR="00167FDE">
        <w:t xml:space="preserve"> </w:t>
      </w:r>
      <w:r w:rsidR="00DF60E6">
        <w:t>NPVs,</w:t>
      </w:r>
      <w:r w:rsidR="00167FDE">
        <w:t xml:space="preserve"> and then aggregate the </w:t>
      </w:r>
      <w:proofErr w:type="gramStart"/>
      <w:r w:rsidR="00167FDE">
        <w:t>probability</w:t>
      </w:r>
      <w:r w:rsidR="00EA4B0F">
        <w:t>-</w:t>
      </w:r>
      <w:r w:rsidR="00167FDE">
        <w:t>weighted</w:t>
      </w:r>
      <w:proofErr w:type="gramEnd"/>
      <w:r w:rsidR="00167FDE">
        <w:t xml:space="preserve"> NPVs to determine each project’s </w:t>
      </w:r>
      <w:r w:rsidR="00EA4B0F">
        <w:t>market</w:t>
      </w:r>
      <w:r w:rsidR="00167FDE">
        <w:t xml:space="preserve"> value.  </w:t>
      </w:r>
    </w:p>
    <w:p w14:paraId="13F77291" w14:textId="2C3754A9" w:rsidR="009B5A31" w:rsidRDefault="009B5A31" w:rsidP="004B069C">
      <w:pPr>
        <w:spacing w:after="0" w:line="240" w:lineRule="auto"/>
        <w:ind w:left="-720" w:right="-720"/>
        <w:jc w:val="both"/>
      </w:pPr>
    </w:p>
    <w:p w14:paraId="60BDD9BF" w14:textId="0D7D818A" w:rsidR="00FC047C" w:rsidRDefault="00FC047C" w:rsidP="009B5A31">
      <w:pPr>
        <w:spacing w:after="0" w:line="240" w:lineRule="auto"/>
        <w:ind w:left="-720" w:right="-720"/>
        <w:jc w:val="both"/>
      </w:pPr>
      <w:r>
        <w:t xml:space="preserve">5. </w:t>
      </w:r>
      <w:r w:rsidR="001D702C">
        <w:t>I would</w:t>
      </w:r>
      <w:r>
        <w:t xml:space="preserve"> approve The Barn, Stadium Remodel, Gopher Place and Whalen Court.</w:t>
      </w:r>
    </w:p>
    <w:p w14:paraId="105EABE0" w14:textId="29F751CB" w:rsidR="004B069C" w:rsidRDefault="004B069C" w:rsidP="009B5A31">
      <w:pPr>
        <w:spacing w:after="0" w:line="240" w:lineRule="auto"/>
        <w:ind w:left="-720" w:right="-720"/>
        <w:jc w:val="both"/>
      </w:pPr>
    </w:p>
    <w:p w14:paraId="59C18BE4" w14:textId="77777777" w:rsidR="0086710B" w:rsidRDefault="005E3627" w:rsidP="005E3627">
      <w:pPr>
        <w:spacing w:line="240" w:lineRule="auto"/>
        <w:ind w:left="-720" w:right="-720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0BEF36" wp14:editId="49BB6DD7">
            <wp:simplePos x="0" y="0"/>
            <wp:positionH relativeFrom="column">
              <wp:posOffset>716915</wp:posOffset>
            </wp:positionH>
            <wp:positionV relativeFrom="paragraph">
              <wp:posOffset>510540</wp:posOffset>
            </wp:positionV>
            <wp:extent cx="5992495" cy="2868930"/>
            <wp:effectExtent l="76200" t="76200" r="141605" b="140970"/>
            <wp:wrapTight wrapText="bothSides">
              <wp:wrapPolygon edited="0">
                <wp:start x="-137" y="-574"/>
                <wp:lineTo x="-275" y="-430"/>
                <wp:lineTo x="-275" y="21944"/>
                <wp:lineTo x="-137" y="22518"/>
                <wp:lineTo x="21904" y="22518"/>
                <wp:lineTo x="22042" y="20367"/>
                <wp:lineTo x="22042" y="1865"/>
                <wp:lineTo x="21904" y="-287"/>
                <wp:lineTo x="21904" y="-574"/>
                <wp:lineTo x="-137" y="-57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9"/>
                    <a:stretch/>
                  </pic:blipFill>
                  <pic:spPr bwMode="auto">
                    <a:xfrm>
                      <a:off x="0" y="0"/>
                      <a:ext cx="5992495" cy="286893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47C">
        <w:t xml:space="preserve">6. </w:t>
      </w:r>
      <w:r w:rsidR="0047689B">
        <w:t>I would</w:t>
      </w:r>
      <w:r w:rsidR="00FC047C">
        <w:t xml:space="preserve"> use</w:t>
      </w:r>
      <w:r w:rsidR="0047689B">
        <w:t xml:space="preserve"> the</w:t>
      </w:r>
      <w:r w:rsidR="00FC047C">
        <w:t xml:space="preserve"> profitability index to rank the projects under a capitol rationing scenario.  </w:t>
      </w:r>
      <w:r w:rsidR="0031041B">
        <w:t>The profitability index indicates that</w:t>
      </w:r>
      <w:r w:rsidR="00A74E29">
        <w:t xml:space="preserve"> </w:t>
      </w:r>
      <w:r w:rsidR="00A74E29" w:rsidRPr="00A74E29">
        <w:rPr>
          <w:b/>
          <w:bCs/>
          <w:i/>
          <w:iCs/>
        </w:rPr>
        <w:t>t</w:t>
      </w:r>
      <w:r w:rsidR="0031041B" w:rsidRPr="00A74E29">
        <w:rPr>
          <w:b/>
          <w:bCs/>
          <w:i/>
          <w:iCs/>
          <w:sz w:val="20"/>
          <w:szCs w:val="20"/>
        </w:rPr>
        <w:t xml:space="preserve">he Barn, Stadium Remodel </w:t>
      </w:r>
      <w:r w:rsidR="00A74E29">
        <w:rPr>
          <w:b/>
          <w:bCs/>
          <w:i/>
          <w:iCs/>
          <w:sz w:val="20"/>
          <w:szCs w:val="20"/>
        </w:rPr>
        <w:t xml:space="preserve">and </w:t>
      </w:r>
      <w:r w:rsidR="0031041B" w:rsidRPr="00302ED9">
        <w:rPr>
          <w:b/>
          <w:bCs/>
          <w:i/>
          <w:iCs/>
          <w:sz w:val="20"/>
          <w:szCs w:val="20"/>
        </w:rPr>
        <w:t xml:space="preserve">Gopher Place </w:t>
      </w:r>
      <w:r w:rsidR="0031041B">
        <w:t xml:space="preserve">should be accepted, and Whalen Court and Goldie’s Square should be rejected.  </w:t>
      </w:r>
    </w:p>
    <w:p w14:paraId="4246D3A2" w14:textId="712091D3" w:rsidR="002B6954" w:rsidRDefault="00FC047C" w:rsidP="005E3627">
      <w:pPr>
        <w:spacing w:line="240" w:lineRule="auto"/>
        <w:ind w:left="-720" w:right="-720"/>
        <w:jc w:val="both"/>
      </w:pPr>
      <w:r>
        <w:t>Projects are ranked in descending order of profitability</w:t>
      </w:r>
      <w:r w:rsidR="00486E42">
        <w:t xml:space="preserve"> with aggregated Investment amounts, NPV’s and P</w:t>
      </w:r>
      <w:r w:rsidR="009B5A31">
        <w:t xml:space="preserve">rofitability </w:t>
      </w:r>
      <w:r w:rsidR="00486E42">
        <w:t>I</w:t>
      </w:r>
      <w:r w:rsidR="009B5A31">
        <w:t>ndice</w:t>
      </w:r>
      <w:r w:rsidR="00486E42">
        <w:t xml:space="preserve">s </w:t>
      </w:r>
      <w:r w:rsidR="00A461C9">
        <w:t xml:space="preserve">listed </w:t>
      </w:r>
      <w:r w:rsidR="00486E42">
        <w:t xml:space="preserve">in the table </w:t>
      </w:r>
      <w:r w:rsidR="00794523">
        <w:t>to the right</w:t>
      </w:r>
      <w:r>
        <w:t xml:space="preserve">: </w:t>
      </w:r>
    </w:p>
    <w:tbl>
      <w:tblPr>
        <w:tblW w:w="6960" w:type="dxa"/>
        <w:jc w:val="center"/>
        <w:tblLook w:val="04A0" w:firstRow="1" w:lastRow="0" w:firstColumn="1" w:lastColumn="0" w:noHBand="0" w:noVBand="1"/>
      </w:tblPr>
      <w:tblGrid>
        <w:gridCol w:w="2157"/>
        <w:gridCol w:w="4803"/>
      </w:tblGrid>
      <w:tr w:rsidR="0052040D" w:rsidRPr="0052040D" w14:paraId="7435F46F" w14:textId="77777777" w:rsidTr="0052040D">
        <w:trPr>
          <w:trHeight w:val="375"/>
          <w:jc w:val="center"/>
        </w:trPr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8929" w14:textId="36BF675E" w:rsidR="0052040D" w:rsidRPr="0052040D" w:rsidRDefault="0052040D" w:rsidP="0052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2040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Exhibit 1</w:t>
            </w:r>
          </w:p>
        </w:tc>
      </w:tr>
      <w:tr w:rsidR="0052040D" w:rsidRPr="0052040D" w14:paraId="799CC45B" w14:textId="77777777" w:rsidTr="0052040D">
        <w:trPr>
          <w:trHeight w:val="300"/>
          <w:jc w:val="center"/>
        </w:trPr>
        <w:tc>
          <w:tcPr>
            <w:tcW w:w="6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F40FB" w14:textId="77777777" w:rsidR="0052040D" w:rsidRPr="0052040D" w:rsidRDefault="0052040D" w:rsidP="0052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40D">
              <w:rPr>
                <w:rFonts w:ascii="Calibri" w:eastAsia="Times New Roman" w:hAnsi="Calibri" w:cs="Calibri"/>
                <w:b/>
                <w:bCs/>
                <w:color w:val="000000"/>
              </w:rPr>
              <w:t>Capital Expenditure Committee Members</w:t>
            </w:r>
          </w:p>
        </w:tc>
      </w:tr>
      <w:tr w:rsidR="0052040D" w:rsidRPr="0052040D" w14:paraId="123B42D0" w14:textId="77777777" w:rsidTr="0052040D">
        <w:trPr>
          <w:trHeight w:val="300"/>
          <w:jc w:val="center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DBD6" w14:textId="77777777" w:rsidR="0052040D" w:rsidRPr="0052040D" w:rsidRDefault="0052040D" w:rsidP="0052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0D">
              <w:rPr>
                <w:rFonts w:ascii="Calibri" w:eastAsia="Times New Roman" w:hAnsi="Calibri" w:cs="Calibri"/>
                <w:color w:val="000000"/>
              </w:rPr>
              <w:t>John D. Griffith</w:t>
            </w:r>
          </w:p>
        </w:tc>
        <w:tc>
          <w:tcPr>
            <w:tcW w:w="48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4F1F" w14:textId="77777777" w:rsidR="0052040D" w:rsidRPr="0052040D" w:rsidRDefault="0052040D" w:rsidP="0052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0D">
              <w:rPr>
                <w:rFonts w:ascii="Calibri" w:eastAsia="Times New Roman" w:hAnsi="Calibri" w:cs="Calibri"/>
                <w:color w:val="000000"/>
              </w:rPr>
              <w:t>Executive Vice President, Property Development</w:t>
            </w:r>
          </w:p>
        </w:tc>
      </w:tr>
      <w:tr w:rsidR="0052040D" w:rsidRPr="0052040D" w14:paraId="53616353" w14:textId="77777777" w:rsidTr="0052040D">
        <w:trPr>
          <w:trHeight w:val="300"/>
          <w:jc w:val="center"/>
        </w:trPr>
        <w:tc>
          <w:tcPr>
            <w:tcW w:w="2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E448" w14:textId="77777777" w:rsidR="0052040D" w:rsidRPr="0052040D" w:rsidRDefault="0052040D" w:rsidP="0052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0D">
              <w:rPr>
                <w:rFonts w:ascii="Calibri" w:eastAsia="Times New Roman" w:hAnsi="Calibri" w:cs="Calibri"/>
                <w:color w:val="000000"/>
              </w:rPr>
              <w:t xml:space="preserve">Troy H. </w:t>
            </w:r>
            <w:proofErr w:type="spellStart"/>
            <w:r w:rsidRPr="0052040D">
              <w:rPr>
                <w:rFonts w:ascii="Calibri" w:eastAsia="Times New Roman" w:hAnsi="Calibri" w:cs="Calibri"/>
                <w:color w:val="000000"/>
              </w:rPr>
              <w:t>Risch</w:t>
            </w:r>
            <w:proofErr w:type="spellEnd"/>
          </w:p>
        </w:tc>
        <w:tc>
          <w:tcPr>
            <w:tcW w:w="4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52E8" w14:textId="77777777" w:rsidR="0052040D" w:rsidRPr="0052040D" w:rsidRDefault="0052040D" w:rsidP="0052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0D">
              <w:rPr>
                <w:rFonts w:ascii="Calibri" w:eastAsia="Times New Roman" w:hAnsi="Calibri" w:cs="Calibri"/>
                <w:color w:val="000000"/>
              </w:rPr>
              <w:t>Executive Vice President, Stores</w:t>
            </w:r>
          </w:p>
        </w:tc>
      </w:tr>
      <w:tr w:rsidR="0052040D" w:rsidRPr="0052040D" w14:paraId="02E56F3C" w14:textId="77777777" w:rsidTr="0052040D">
        <w:trPr>
          <w:trHeight w:val="300"/>
          <w:jc w:val="center"/>
        </w:trPr>
        <w:tc>
          <w:tcPr>
            <w:tcW w:w="2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4736" w14:textId="77777777" w:rsidR="0052040D" w:rsidRPr="0052040D" w:rsidRDefault="0052040D" w:rsidP="0052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0D">
              <w:rPr>
                <w:rFonts w:ascii="Calibri" w:eastAsia="Times New Roman" w:hAnsi="Calibri" w:cs="Calibri"/>
                <w:color w:val="000000"/>
              </w:rPr>
              <w:t xml:space="preserve">Douglas A. </w:t>
            </w:r>
            <w:proofErr w:type="spellStart"/>
            <w:r w:rsidRPr="0052040D">
              <w:rPr>
                <w:rFonts w:ascii="Calibri" w:eastAsia="Times New Roman" w:hAnsi="Calibri" w:cs="Calibri"/>
                <w:color w:val="000000"/>
              </w:rPr>
              <w:t>Scovanner</w:t>
            </w:r>
            <w:proofErr w:type="spellEnd"/>
          </w:p>
        </w:tc>
        <w:tc>
          <w:tcPr>
            <w:tcW w:w="4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B735" w14:textId="77777777" w:rsidR="0052040D" w:rsidRPr="0052040D" w:rsidRDefault="0052040D" w:rsidP="0052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0D">
              <w:rPr>
                <w:rFonts w:ascii="Calibri" w:eastAsia="Times New Roman" w:hAnsi="Calibri" w:cs="Calibri"/>
                <w:color w:val="000000"/>
              </w:rPr>
              <w:t>Executive Vice President, Chief Financial Officer</w:t>
            </w:r>
          </w:p>
        </w:tc>
      </w:tr>
      <w:tr w:rsidR="0052040D" w:rsidRPr="0052040D" w14:paraId="7BDA7063" w14:textId="77777777" w:rsidTr="0052040D">
        <w:trPr>
          <w:trHeight w:val="300"/>
          <w:jc w:val="center"/>
        </w:trPr>
        <w:tc>
          <w:tcPr>
            <w:tcW w:w="2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F164" w14:textId="77777777" w:rsidR="0052040D" w:rsidRPr="0052040D" w:rsidRDefault="0052040D" w:rsidP="0052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0D">
              <w:rPr>
                <w:rFonts w:ascii="Calibri" w:eastAsia="Times New Roman" w:hAnsi="Calibri" w:cs="Calibri"/>
                <w:color w:val="000000"/>
              </w:rPr>
              <w:t xml:space="preserve">Gregg W. </w:t>
            </w:r>
            <w:proofErr w:type="spellStart"/>
            <w:r w:rsidRPr="0052040D">
              <w:rPr>
                <w:rFonts w:ascii="Calibri" w:eastAsia="Times New Roman" w:hAnsi="Calibri" w:cs="Calibri"/>
                <w:color w:val="000000"/>
              </w:rPr>
              <w:t>Steinhafel</w:t>
            </w:r>
            <w:proofErr w:type="spellEnd"/>
          </w:p>
        </w:tc>
        <w:tc>
          <w:tcPr>
            <w:tcW w:w="4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63B2" w14:textId="77777777" w:rsidR="0052040D" w:rsidRPr="0052040D" w:rsidRDefault="0052040D" w:rsidP="0052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0D">
              <w:rPr>
                <w:rFonts w:ascii="Calibri" w:eastAsia="Times New Roman" w:hAnsi="Calibri" w:cs="Calibri"/>
                <w:color w:val="000000"/>
              </w:rPr>
              <w:t>President</w:t>
            </w:r>
          </w:p>
        </w:tc>
      </w:tr>
      <w:tr w:rsidR="0052040D" w:rsidRPr="0052040D" w14:paraId="2FA98382" w14:textId="77777777" w:rsidTr="0052040D">
        <w:trPr>
          <w:trHeight w:val="300"/>
          <w:jc w:val="center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862C" w14:textId="77777777" w:rsidR="0052040D" w:rsidRPr="0052040D" w:rsidRDefault="0052040D" w:rsidP="0052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0D">
              <w:rPr>
                <w:rFonts w:ascii="Calibri" w:eastAsia="Times New Roman" w:hAnsi="Calibri" w:cs="Calibri"/>
                <w:color w:val="000000"/>
              </w:rPr>
              <w:t>Robert J. Ulrich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F15F" w14:textId="77777777" w:rsidR="0052040D" w:rsidRPr="0052040D" w:rsidRDefault="0052040D" w:rsidP="0052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0D">
              <w:rPr>
                <w:rFonts w:ascii="Calibri" w:eastAsia="Times New Roman" w:hAnsi="Calibri" w:cs="Calibri"/>
                <w:color w:val="000000"/>
              </w:rPr>
              <w:t>Chairman and Chief Executive Officer</w:t>
            </w:r>
          </w:p>
        </w:tc>
      </w:tr>
    </w:tbl>
    <w:p w14:paraId="661C612B" w14:textId="260397CB" w:rsidR="006E3179" w:rsidRDefault="006E3179" w:rsidP="0052040D">
      <w:pPr>
        <w:spacing w:line="240" w:lineRule="auto"/>
        <w:ind w:left="-720" w:right="-720"/>
        <w:jc w:val="center"/>
      </w:pPr>
    </w:p>
    <w:p w14:paraId="4E38429A" w14:textId="119A38DA" w:rsidR="00F27A9A" w:rsidRDefault="00F27A9A" w:rsidP="009530A6">
      <w:pPr>
        <w:spacing w:line="240" w:lineRule="auto"/>
        <w:ind w:left="-720" w:right="-720"/>
        <w:jc w:val="center"/>
      </w:pPr>
    </w:p>
    <w:p w14:paraId="469EE6C1" w14:textId="1801A129" w:rsidR="009530A6" w:rsidRDefault="003D3652" w:rsidP="009530A6">
      <w:pPr>
        <w:spacing w:line="240" w:lineRule="auto"/>
        <w:ind w:left="-720" w:right="-720"/>
        <w:jc w:val="center"/>
      </w:pPr>
      <w:r>
        <w:rPr>
          <w:noProof/>
        </w:rPr>
        <w:drawing>
          <wp:inline distT="0" distB="0" distL="0" distR="0" wp14:anchorId="4644E5A8" wp14:editId="5EF35618">
            <wp:extent cx="4088130" cy="2536825"/>
            <wp:effectExtent l="76200" t="76200" r="140970" b="130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53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661DCE" w14:textId="77777777" w:rsidR="0008158F" w:rsidRDefault="0008158F" w:rsidP="009530A6">
      <w:pPr>
        <w:spacing w:line="240" w:lineRule="auto"/>
        <w:ind w:left="-720" w:right="-720"/>
        <w:jc w:val="center"/>
      </w:pPr>
    </w:p>
    <w:p w14:paraId="7431774A" w14:textId="42E70BDA" w:rsidR="009530A6" w:rsidRDefault="003D3652" w:rsidP="009530A6">
      <w:pPr>
        <w:spacing w:line="240" w:lineRule="auto"/>
        <w:ind w:left="-720" w:right="-720"/>
        <w:jc w:val="center"/>
      </w:pPr>
      <w:r>
        <w:rPr>
          <w:noProof/>
        </w:rPr>
        <w:drawing>
          <wp:inline distT="0" distB="0" distL="0" distR="0" wp14:anchorId="16DFC9F8" wp14:editId="6021A4B7">
            <wp:extent cx="5087471" cy="2391792"/>
            <wp:effectExtent l="76200" t="76200" r="132715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48" cy="23985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6B4EF" w14:textId="69FA3165" w:rsidR="009530A6" w:rsidRDefault="003D3652" w:rsidP="009530A6">
      <w:pPr>
        <w:spacing w:line="240" w:lineRule="auto"/>
        <w:ind w:left="-720" w:right="-720"/>
        <w:jc w:val="center"/>
      </w:pPr>
      <w:r>
        <w:rPr>
          <w:noProof/>
        </w:rPr>
        <w:lastRenderedPageBreak/>
        <w:drawing>
          <wp:inline distT="0" distB="0" distL="0" distR="0" wp14:anchorId="24DB53AB" wp14:editId="32943D28">
            <wp:extent cx="5163820" cy="2339975"/>
            <wp:effectExtent l="76200" t="76200" r="132080" b="136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339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5E40E" w14:textId="1A4ACA4D" w:rsidR="003D3652" w:rsidRDefault="003D3652" w:rsidP="009530A6">
      <w:pPr>
        <w:spacing w:line="240" w:lineRule="auto"/>
        <w:ind w:left="-720" w:right="-720"/>
        <w:jc w:val="center"/>
      </w:pPr>
    </w:p>
    <w:p w14:paraId="44A3C6E1" w14:textId="5A118053" w:rsidR="009530A6" w:rsidRDefault="009530A6" w:rsidP="009530A6">
      <w:pPr>
        <w:spacing w:line="240" w:lineRule="auto"/>
        <w:ind w:left="-720" w:right="-720"/>
        <w:jc w:val="center"/>
      </w:pPr>
    </w:p>
    <w:p w14:paraId="6C74E124" w14:textId="7B17AA9F" w:rsidR="009530A6" w:rsidRDefault="009530A6" w:rsidP="009530A6">
      <w:pPr>
        <w:spacing w:line="240" w:lineRule="auto"/>
        <w:ind w:left="-720" w:right="-720"/>
        <w:jc w:val="center"/>
      </w:pPr>
      <w:r>
        <w:rPr>
          <w:noProof/>
        </w:rPr>
        <w:drawing>
          <wp:inline distT="0" distB="0" distL="0" distR="0" wp14:anchorId="4A0ED142" wp14:editId="5C118784">
            <wp:extent cx="5432425" cy="3684270"/>
            <wp:effectExtent l="76200" t="76200" r="130175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684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E48BDB" w14:textId="76A77848" w:rsidR="00F27A9A" w:rsidRDefault="00F27A9A" w:rsidP="00F10D39">
      <w:pPr>
        <w:spacing w:line="240" w:lineRule="auto"/>
        <w:ind w:left="-720" w:right="-720"/>
        <w:jc w:val="both"/>
      </w:pPr>
    </w:p>
    <w:p w14:paraId="11BE6296" w14:textId="4FD8D4DB" w:rsidR="00D1404C" w:rsidRDefault="00D1404C" w:rsidP="00F10D39">
      <w:pPr>
        <w:spacing w:line="240" w:lineRule="auto"/>
        <w:ind w:left="-720" w:right="-720"/>
        <w:jc w:val="both"/>
      </w:pPr>
    </w:p>
    <w:p w14:paraId="4C6AB085" w14:textId="3402CBCA" w:rsidR="00D1404C" w:rsidRDefault="00D1404C" w:rsidP="00F10D39">
      <w:pPr>
        <w:spacing w:line="240" w:lineRule="auto"/>
        <w:ind w:left="-720" w:right="-720"/>
        <w:jc w:val="both"/>
      </w:pPr>
    </w:p>
    <w:p w14:paraId="6A50C651" w14:textId="37D50BA2" w:rsidR="00D1404C" w:rsidRDefault="00D1404C" w:rsidP="00F10D39">
      <w:pPr>
        <w:spacing w:line="240" w:lineRule="auto"/>
        <w:ind w:left="-720" w:right="-720"/>
        <w:jc w:val="both"/>
      </w:pPr>
    </w:p>
    <w:p w14:paraId="032C2983" w14:textId="0E51232E" w:rsidR="00D1404C" w:rsidRDefault="00980F51" w:rsidP="00D1404C">
      <w:pPr>
        <w:spacing w:line="240" w:lineRule="auto"/>
        <w:ind w:left="-720" w:right="-7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9BF5208" wp14:editId="1BBAF133">
            <wp:simplePos x="0" y="0"/>
            <wp:positionH relativeFrom="column">
              <wp:posOffset>0</wp:posOffset>
            </wp:positionH>
            <wp:positionV relativeFrom="paragraph">
              <wp:posOffset>345440</wp:posOffset>
            </wp:positionV>
            <wp:extent cx="5943600" cy="3101340"/>
            <wp:effectExtent l="76200" t="76200" r="133350" b="137160"/>
            <wp:wrapTight wrapText="bothSides">
              <wp:wrapPolygon edited="0">
                <wp:start x="-138" y="-531"/>
                <wp:lineTo x="-277" y="-398"/>
                <wp:lineTo x="-277" y="21892"/>
                <wp:lineTo x="-138" y="22423"/>
                <wp:lineTo x="21877" y="22423"/>
                <wp:lineTo x="22015" y="20963"/>
                <wp:lineTo x="22015" y="1725"/>
                <wp:lineTo x="21877" y="-265"/>
                <wp:lineTo x="21877" y="-531"/>
                <wp:lineTo x="-138" y="-531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A89A12D" w14:textId="0CF93FAD" w:rsidR="00F27A9A" w:rsidRDefault="00F27A9A" w:rsidP="00F10D39">
      <w:pPr>
        <w:spacing w:line="240" w:lineRule="auto"/>
        <w:ind w:left="-720" w:right="-720"/>
        <w:jc w:val="both"/>
      </w:pPr>
    </w:p>
    <w:p w14:paraId="510C7AEE" w14:textId="66D4E74E" w:rsidR="00F27A9A" w:rsidRDefault="00F27A9A" w:rsidP="00F10D39">
      <w:pPr>
        <w:spacing w:line="240" w:lineRule="auto"/>
        <w:ind w:left="-720" w:right="-720"/>
        <w:jc w:val="both"/>
      </w:pPr>
    </w:p>
    <w:p w14:paraId="10BA9C4A" w14:textId="620A8D82" w:rsidR="00F27A9A" w:rsidRDefault="00F27A9A" w:rsidP="00F10D39">
      <w:pPr>
        <w:spacing w:line="240" w:lineRule="auto"/>
        <w:ind w:left="-720" w:right="-720"/>
        <w:jc w:val="both"/>
      </w:pPr>
    </w:p>
    <w:sectPr w:rsidR="00F27A9A" w:rsidSect="004B069C">
      <w:footerReference w:type="default" r:id="rId16"/>
      <w:pgSz w:w="12240" w:h="15840"/>
      <w:pgMar w:top="1170" w:right="1440" w:bottom="90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6919C" w14:textId="77777777" w:rsidR="002C33C7" w:rsidRDefault="002C33C7" w:rsidP="002D42B3">
      <w:pPr>
        <w:spacing w:after="0" w:line="240" w:lineRule="auto"/>
      </w:pPr>
      <w:r>
        <w:separator/>
      </w:r>
    </w:p>
  </w:endnote>
  <w:endnote w:type="continuationSeparator" w:id="0">
    <w:p w14:paraId="6F5E0D47" w14:textId="77777777" w:rsidR="002C33C7" w:rsidRDefault="002C33C7" w:rsidP="002D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586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DF69C" w14:textId="7C9CEC8D" w:rsidR="009B011A" w:rsidRDefault="009B01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12B78" w14:textId="77777777" w:rsidR="009B011A" w:rsidRDefault="009B0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16B3" w14:textId="77777777" w:rsidR="002C33C7" w:rsidRDefault="002C33C7" w:rsidP="002D42B3">
      <w:pPr>
        <w:spacing w:after="0" w:line="240" w:lineRule="auto"/>
      </w:pPr>
      <w:r>
        <w:separator/>
      </w:r>
    </w:p>
  </w:footnote>
  <w:footnote w:type="continuationSeparator" w:id="0">
    <w:p w14:paraId="7FBBA150" w14:textId="77777777" w:rsidR="002C33C7" w:rsidRDefault="002C33C7" w:rsidP="002D4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19E0"/>
    <w:multiLevelType w:val="hybridMultilevel"/>
    <w:tmpl w:val="C08C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01A14"/>
    <w:multiLevelType w:val="hybridMultilevel"/>
    <w:tmpl w:val="6122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5055F"/>
    <w:multiLevelType w:val="hybridMultilevel"/>
    <w:tmpl w:val="8B40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7C85"/>
    <w:multiLevelType w:val="hybridMultilevel"/>
    <w:tmpl w:val="AAA05D5C"/>
    <w:lvl w:ilvl="0" w:tplc="04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4" w15:restartNumberingAfterBreak="0">
    <w:nsid w:val="3E340720"/>
    <w:multiLevelType w:val="hybridMultilevel"/>
    <w:tmpl w:val="BA66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60582"/>
    <w:multiLevelType w:val="hybridMultilevel"/>
    <w:tmpl w:val="E3724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E50A4"/>
    <w:multiLevelType w:val="hybridMultilevel"/>
    <w:tmpl w:val="CB840C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7E"/>
    <w:rsid w:val="00015E3C"/>
    <w:rsid w:val="000434A1"/>
    <w:rsid w:val="000471D5"/>
    <w:rsid w:val="00064E0F"/>
    <w:rsid w:val="0008158F"/>
    <w:rsid w:val="00081991"/>
    <w:rsid w:val="000A0525"/>
    <w:rsid w:val="000A2BCC"/>
    <w:rsid w:val="000A2CDE"/>
    <w:rsid w:val="000A4C79"/>
    <w:rsid w:val="000A52B1"/>
    <w:rsid w:val="000C50C7"/>
    <w:rsid w:val="000E686E"/>
    <w:rsid w:val="000E6D42"/>
    <w:rsid w:val="000F753E"/>
    <w:rsid w:val="001009D4"/>
    <w:rsid w:val="00123510"/>
    <w:rsid w:val="00131AEF"/>
    <w:rsid w:val="00167FDE"/>
    <w:rsid w:val="00171141"/>
    <w:rsid w:val="0017284A"/>
    <w:rsid w:val="00177777"/>
    <w:rsid w:val="0018634F"/>
    <w:rsid w:val="0019066C"/>
    <w:rsid w:val="001912A3"/>
    <w:rsid w:val="001923E4"/>
    <w:rsid w:val="0019278C"/>
    <w:rsid w:val="001B3AF5"/>
    <w:rsid w:val="001B61D4"/>
    <w:rsid w:val="001D702C"/>
    <w:rsid w:val="001D74E9"/>
    <w:rsid w:val="001E08E9"/>
    <w:rsid w:val="001E646F"/>
    <w:rsid w:val="001E7FAF"/>
    <w:rsid w:val="00221A72"/>
    <w:rsid w:val="00225012"/>
    <w:rsid w:val="00226489"/>
    <w:rsid w:val="00257F34"/>
    <w:rsid w:val="0026563F"/>
    <w:rsid w:val="002708A5"/>
    <w:rsid w:val="00275ADC"/>
    <w:rsid w:val="002B0062"/>
    <w:rsid w:val="002B2B42"/>
    <w:rsid w:val="002B3310"/>
    <w:rsid w:val="002B6954"/>
    <w:rsid w:val="002C0089"/>
    <w:rsid w:val="002C33C7"/>
    <w:rsid w:val="002C3E8C"/>
    <w:rsid w:val="002D0C47"/>
    <w:rsid w:val="002D42B3"/>
    <w:rsid w:val="002D4D42"/>
    <w:rsid w:val="002D522B"/>
    <w:rsid w:val="002F0731"/>
    <w:rsid w:val="002F23AE"/>
    <w:rsid w:val="00302ED9"/>
    <w:rsid w:val="0031041B"/>
    <w:rsid w:val="00311880"/>
    <w:rsid w:val="00345971"/>
    <w:rsid w:val="00347D01"/>
    <w:rsid w:val="003636C0"/>
    <w:rsid w:val="00372C9E"/>
    <w:rsid w:val="003A0990"/>
    <w:rsid w:val="003B6C44"/>
    <w:rsid w:val="003C78BC"/>
    <w:rsid w:val="003D3652"/>
    <w:rsid w:val="003D75F6"/>
    <w:rsid w:val="003E5C60"/>
    <w:rsid w:val="00400D69"/>
    <w:rsid w:val="00401BDA"/>
    <w:rsid w:val="00413CC1"/>
    <w:rsid w:val="00421D00"/>
    <w:rsid w:val="00426975"/>
    <w:rsid w:val="00431896"/>
    <w:rsid w:val="00436263"/>
    <w:rsid w:val="0043746A"/>
    <w:rsid w:val="00442C67"/>
    <w:rsid w:val="00472582"/>
    <w:rsid w:val="0047689B"/>
    <w:rsid w:val="0048659E"/>
    <w:rsid w:val="00486D96"/>
    <w:rsid w:val="00486E42"/>
    <w:rsid w:val="00490D53"/>
    <w:rsid w:val="004933F2"/>
    <w:rsid w:val="004A31AA"/>
    <w:rsid w:val="004B069C"/>
    <w:rsid w:val="004B7689"/>
    <w:rsid w:val="004C4926"/>
    <w:rsid w:val="004C7623"/>
    <w:rsid w:val="004E0F93"/>
    <w:rsid w:val="00502989"/>
    <w:rsid w:val="0051419F"/>
    <w:rsid w:val="00514347"/>
    <w:rsid w:val="0052040D"/>
    <w:rsid w:val="00521358"/>
    <w:rsid w:val="005243F6"/>
    <w:rsid w:val="00543885"/>
    <w:rsid w:val="00545AEC"/>
    <w:rsid w:val="005468E3"/>
    <w:rsid w:val="00561460"/>
    <w:rsid w:val="005642AA"/>
    <w:rsid w:val="0057030E"/>
    <w:rsid w:val="00573F7C"/>
    <w:rsid w:val="0057467E"/>
    <w:rsid w:val="005A7AAA"/>
    <w:rsid w:val="005E3627"/>
    <w:rsid w:val="005E7E98"/>
    <w:rsid w:val="005F551F"/>
    <w:rsid w:val="006138B3"/>
    <w:rsid w:val="0061477B"/>
    <w:rsid w:val="00625254"/>
    <w:rsid w:val="00627660"/>
    <w:rsid w:val="00632536"/>
    <w:rsid w:val="00641827"/>
    <w:rsid w:val="00661E72"/>
    <w:rsid w:val="006807C2"/>
    <w:rsid w:val="00686794"/>
    <w:rsid w:val="006923C5"/>
    <w:rsid w:val="006963D4"/>
    <w:rsid w:val="006C00FB"/>
    <w:rsid w:val="006D45A3"/>
    <w:rsid w:val="006E3179"/>
    <w:rsid w:val="006F364A"/>
    <w:rsid w:val="006F646D"/>
    <w:rsid w:val="006F6CED"/>
    <w:rsid w:val="00700ABB"/>
    <w:rsid w:val="0070782C"/>
    <w:rsid w:val="00716489"/>
    <w:rsid w:val="00731DCC"/>
    <w:rsid w:val="00737158"/>
    <w:rsid w:val="00753B6E"/>
    <w:rsid w:val="00777463"/>
    <w:rsid w:val="00794523"/>
    <w:rsid w:val="00800173"/>
    <w:rsid w:val="00810AD8"/>
    <w:rsid w:val="008126A7"/>
    <w:rsid w:val="00836B5B"/>
    <w:rsid w:val="00850B78"/>
    <w:rsid w:val="00851693"/>
    <w:rsid w:val="008517E7"/>
    <w:rsid w:val="0086710B"/>
    <w:rsid w:val="00874062"/>
    <w:rsid w:val="00875C71"/>
    <w:rsid w:val="008A519B"/>
    <w:rsid w:val="008B741F"/>
    <w:rsid w:val="008C1F8A"/>
    <w:rsid w:val="008C7B63"/>
    <w:rsid w:val="008F6D60"/>
    <w:rsid w:val="00913B97"/>
    <w:rsid w:val="0092683F"/>
    <w:rsid w:val="00927CC2"/>
    <w:rsid w:val="00930CF3"/>
    <w:rsid w:val="00935817"/>
    <w:rsid w:val="00940ADB"/>
    <w:rsid w:val="009530A6"/>
    <w:rsid w:val="009626A0"/>
    <w:rsid w:val="00974D9F"/>
    <w:rsid w:val="00980F51"/>
    <w:rsid w:val="00981E9F"/>
    <w:rsid w:val="0098267E"/>
    <w:rsid w:val="00995079"/>
    <w:rsid w:val="009B011A"/>
    <w:rsid w:val="009B5A31"/>
    <w:rsid w:val="009C7310"/>
    <w:rsid w:val="009F3AF5"/>
    <w:rsid w:val="00A448E1"/>
    <w:rsid w:val="00A461C9"/>
    <w:rsid w:val="00A50F8B"/>
    <w:rsid w:val="00A550A2"/>
    <w:rsid w:val="00A7254B"/>
    <w:rsid w:val="00A745CD"/>
    <w:rsid w:val="00A74E29"/>
    <w:rsid w:val="00A852FD"/>
    <w:rsid w:val="00A92096"/>
    <w:rsid w:val="00A97ED3"/>
    <w:rsid w:val="00AD191C"/>
    <w:rsid w:val="00AE1B37"/>
    <w:rsid w:val="00AE7730"/>
    <w:rsid w:val="00B07817"/>
    <w:rsid w:val="00B3065F"/>
    <w:rsid w:val="00B40213"/>
    <w:rsid w:val="00B51DA9"/>
    <w:rsid w:val="00B53B81"/>
    <w:rsid w:val="00B644D0"/>
    <w:rsid w:val="00B71600"/>
    <w:rsid w:val="00B83B4E"/>
    <w:rsid w:val="00BB3F72"/>
    <w:rsid w:val="00BC2E8C"/>
    <w:rsid w:val="00BC3F99"/>
    <w:rsid w:val="00BE0A83"/>
    <w:rsid w:val="00C344E5"/>
    <w:rsid w:val="00C36813"/>
    <w:rsid w:val="00C379E1"/>
    <w:rsid w:val="00C56781"/>
    <w:rsid w:val="00C60A78"/>
    <w:rsid w:val="00C7796A"/>
    <w:rsid w:val="00C8002A"/>
    <w:rsid w:val="00C90389"/>
    <w:rsid w:val="00C9265A"/>
    <w:rsid w:val="00C959AB"/>
    <w:rsid w:val="00CB6CB4"/>
    <w:rsid w:val="00CD0D4A"/>
    <w:rsid w:val="00CD5C4A"/>
    <w:rsid w:val="00CF3533"/>
    <w:rsid w:val="00D01425"/>
    <w:rsid w:val="00D03B7D"/>
    <w:rsid w:val="00D1404C"/>
    <w:rsid w:val="00D20950"/>
    <w:rsid w:val="00D23F90"/>
    <w:rsid w:val="00D27744"/>
    <w:rsid w:val="00D42D74"/>
    <w:rsid w:val="00D65D48"/>
    <w:rsid w:val="00D703DF"/>
    <w:rsid w:val="00D766E2"/>
    <w:rsid w:val="00D94C2E"/>
    <w:rsid w:val="00DA2603"/>
    <w:rsid w:val="00DB7425"/>
    <w:rsid w:val="00DC2D20"/>
    <w:rsid w:val="00DE7DE8"/>
    <w:rsid w:val="00DF60E6"/>
    <w:rsid w:val="00E22E48"/>
    <w:rsid w:val="00E41F81"/>
    <w:rsid w:val="00E61358"/>
    <w:rsid w:val="00E702AC"/>
    <w:rsid w:val="00E83CE6"/>
    <w:rsid w:val="00E90D98"/>
    <w:rsid w:val="00E9166D"/>
    <w:rsid w:val="00EA1369"/>
    <w:rsid w:val="00EA4B0F"/>
    <w:rsid w:val="00EA4DC7"/>
    <w:rsid w:val="00EC6059"/>
    <w:rsid w:val="00F10D39"/>
    <w:rsid w:val="00F27A9A"/>
    <w:rsid w:val="00F6236F"/>
    <w:rsid w:val="00F811CA"/>
    <w:rsid w:val="00FA7E11"/>
    <w:rsid w:val="00FC047C"/>
    <w:rsid w:val="00FC138E"/>
    <w:rsid w:val="00FC4215"/>
    <w:rsid w:val="00F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C963"/>
  <w15:chartTrackingRefBased/>
  <w15:docId w15:val="{03F32A76-7947-4084-B3B2-90D967D6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E6"/>
    <w:pPr>
      <w:ind w:left="720"/>
      <w:contextualSpacing/>
    </w:pPr>
  </w:style>
  <w:style w:type="character" w:customStyle="1" w:styleId="authorortitle">
    <w:name w:val="authorortitle"/>
    <w:basedOn w:val="DefaultParagraphFont"/>
    <w:rsid w:val="005243F6"/>
  </w:style>
  <w:style w:type="character" w:styleId="Hyperlink">
    <w:name w:val="Hyperlink"/>
    <w:basedOn w:val="DefaultParagraphFont"/>
    <w:uiPriority w:val="99"/>
    <w:semiHidden/>
    <w:unhideWhenUsed/>
    <w:rsid w:val="005243F6"/>
    <w:rPr>
      <w:color w:val="0000FF"/>
      <w:u w:val="single"/>
    </w:rPr>
  </w:style>
  <w:style w:type="table" w:styleId="TableGrid">
    <w:name w:val="Table Grid"/>
    <w:basedOn w:val="TableNormal"/>
    <w:uiPriority w:val="39"/>
    <w:rsid w:val="00521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D42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42B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D4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B3"/>
  </w:style>
  <w:style w:type="paragraph" w:styleId="Footer">
    <w:name w:val="footer"/>
    <w:basedOn w:val="Normal"/>
    <w:link w:val="FooterChar"/>
    <w:uiPriority w:val="99"/>
    <w:unhideWhenUsed/>
    <w:rsid w:val="002D4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work/quotes/416305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oodreads.com/work/quotes/416305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8049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/>
  <dc:creator>Tony Trotter</dc:creator>
  <cp:keywords/>
  <dc:description/>
  <cp:lastModifiedBy>Tony Trotter</cp:lastModifiedBy>
  <cp:revision>178</cp:revision>
  <dcterms:created xsi:type="dcterms:W3CDTF">2021-04-11T15:33:00Z</dcterms:created>
  <dcterms:modified xsi:type="dcterms:W3CDTF">2021-04-24T04:08:00Z</dcterms:modified>
  <cp:category>Finance 6220</cp:category>
</cp:coreProperties>
</file>