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2E5496"/>
          <w:sz w:val="16"/>
          <w:szCs w:val="16"/>
        </w:rPr>
        <w:t xml:space="preserve">ASSIGNMENT 2 OF 2 · REQUIRED COVER SHEET · DUE SUNDAY 13 SEPTEMBER 2026, 23:59 SGT</w:t>
      </w:r>
    </w:p>
    <w:p>
      <w:pPr>
        <w:spacing w:after="26"/>
      </w:pPr>
      <w:r>
        <w:rPr>
          <w:b/>
          <w:bCs/>
          <w:color w:val="1F3864"/>
          <w:sz w:val="38"/>
          <w:szCs w:val="38"/>
        </w:rPr>
        <w:t xml:space="preserve">A2 Team Self-Appraisal</w:t>
      </w:r>
    </w:p>
    <w:p>
      <w:pPr>
        <w:spacing w:after="30"/>
      </w:pPr>
      <w:r>
        <w:t>Team ID: A-3     Section: A     Problem chosen: A</w:t>
        <w:br/>
        <w:t>Members: Puri; Fang Xinyi; Ma Jian; Wu Yushan; Zhou Yihan; Yang Yisheng; Jiao Yuxi</w:t>
        <w:br/>
        <w:t>Repository URL: https://github.com/Tonya0719/PE6201-A2-Group3     Date: ____________</w:t>
      </w:r>
    </w:p>
    <w:p>
      <w:pPr>
        <w:spacing w:after="30"/>
      </w:pPr>
      <w:r>
        <w:rPr>
          <w:b/>
          <w:bCs/>
          <w:color w:val="1F3864"/>
          <w:sz w:val="19"/>
          <w:szCs w:val="19"/>
        </w:rPr>
        <w:t xml:space="preserve">Members: </w:t>
      </w:r>
      <w:r>
        <w:rPr>
          <w:sz w:val="19"/>
          <w:szCs w:val="19"/>
        </w:rPr>
        <w:t xml:space="preserve">_______________________________________________________________________</w:t>
      </w:r>
    </w:p>
    <w:p>
      <w:pPr>
        <w:spacing w:after="60"/>
      </w:pPr>
      <w:r>
        <w:rPr>
          <w:b/>
          <w:bCs/>
          <w:color w:val="1F3864"/>
          <w:sz w:val="19"/>
          <w:szCs w:val="19"/>
        </w:rPr>
        <w:t xml:space="preserve">Repository URL: </w:t>
      </w:r>
      <w:r>
        <w:rPr>
          <w:sz w:val="19"/>
          <w:szCs w:val="19"/>
        </w:rPr>
        <w:t xml:space="preserve">_________________________________________________     </w:t>
      </w:r>
      <w:r>
        <w:rPr>
          <w:b/>
          <w:bCs/>
          <w:color w:val="1F3864"/>
          <w:sz w:val="19"/>
          <w:szCs w:val="19"/>
        </w:rPr>
        <w:t xml:space="preserve">Date: </w:t>
      </w:r>
      <w:r>
        <w:rPr>
          <w:sz w:val="19"/>
          <w:szCs w:val="19"/>
        </w:rPr>
        <w:t xml:space="preserve">____________</w:t>
      </w:r>
    </w:p>
    <w:p>
      <w:pPr>
        <w:spacing w:after="60"/>
      </w:pPr>
      <w:r>
        <w:rPr>
          <w:color w:val="595959"/>
          <w:sz w:val="18"/>
          <w:szCs w:val="18"/>
        </w:rPr>
        <w:t xml:space="preserve">ONE SHEET PER TEAM, not one per member. Complete it together, in one sitting, after the work is done — it takes about twenty minutes. CHECK IT INTO YOUR A2 SUBMISSION FOLDER alongside the rest of the submission, by the A2 deadline of Sunday 13 September 2026, 23:59 SGT; do not email it. This sheet is required and is not graded, but a missing self-appraisal is treated as an incomplete submission.</w:t>
      </w:r>
    </w:p>
    <w:p>
      <w:pPr>
        <w:spacing w:before="170" w:after="20"/>
      </w:pPr>
      <w:r>
        <w:rPr>
          <w:b/>
          <w:bCs/>
          <w:color w:val="1F3864"/>
          <w:sz w:val="21"/>
          <w:szCs w:val="21"/>
        </w:rPr>
        <w:t xml:space="preserve">1 · Rate your team against Rubric 1</w:t>
      </w:r>
    </w:p>
    <w:p>
      <w:pPr>
        <w:spacing w:after="40"/>
      </w:pPr>
      <w:r>
        <w:rPr>
          <w:color w:val="595959"/>
          <w:sz w:val="16"/>
          <w:szCs w:val="16"/>
        </w:rPr>
        <w:t xml:space="preserve">Circle or mark one band per criterion. Be honest rather than generous — a team that marks itself Excellent everywhere tells the marker nothing, and a large gap between your rating and the marker's is the single most useful thing on this page.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00"/>
        <w:gridCol w:w="1400"/>
        <w:gridCol w:w="1400"/>
        <w:gridCol w:w="1400"/>
        <w:gridCol w:w="1400"/>
      </w:tblGrid>
      <w:tr>
        <w:tc>
          <w:tcPr>
            <w:tcW w:type="dxa" w:w="2600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Criterion</w:t>
            </w:r>
          </w:p>
        </w:tc>
        <w:tc>
          <w:tcPr>
            <w:tcW w:type="dxa" w:w="80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Weight</w:t>
            </w:r>
          </w:p>
        </w:tc>
        <w:tc>
          <w:tcPr>
            <w:tcW w:type="dxa" w:w="140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Excellent (4)</w:t>
            </w:r>
          </w:p>
        </w:tc>
        <w:tc>
          <w:tcPr>
            <w:tcW w:type="dxa" w:w="140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Proficient (3)</w:t>
            </w:r>
          </w:p>
        </w:tc>
        <w:tc>
          <w:tcPr>
            <w:tcW w:type="dxa" w:w="140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Developing (2)</w:t>
            </w:r>
          </w:p>
        </w:tc>
        <w:tc>
          <w:tcPr>
            <w:tcW w:type="dxa" w:w="140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Limited (1)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  <w:szCs w:val="18"/>
              </w:rPr>
              <w:t xml:space="preserve">Conceptual Understanding</w:t>
            </w:r>
          </w:p>
        </w:tc>
        <w:tc>
          <w:tcPr>
            <w:tcW w:type="dxa" w:w="8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>25%</w:t>
            </w:r>
          </w:p>
        </w:tc>
        <w:tc>
          <w:tcPr>
            <w:tcW w:type="dxa" w:w="14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  <w:szCs w:val="18"/>
              </w:rPr>
              <w:t xml:space="preserve">Technical Execution</w:t>
            </w:r>
          </w:p>
        </w:tc>
        <w:tc>
          <w:tcPr>
            <w:tcW w:type="dxa" w:w="8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>30%</w:t>
            </w:r>
          </w:p>
        </w:tc>
        <w:tc>
          <w:tcPr>
            <w:tcW w:type="dxa" w:w="14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  <w:szCs w:val="18"/>
              </w:rPr>
              <w:t xml:space="preserve">Reasoning &amp; Justification</w:t>
            </w:r>
          </w:p>
        </w:tc>
        <w:tc>
          <w:tcPr>
            <w:tcW w:type="dxa" w:w="8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>25%</w:t>
            </w:r>
          </w:p>
        </w:tc>
        <w:tc>
          <w:tcPr>
            <w:tcW w:type="dxa" w:w="14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  <w:szCs w:val="18"/>
              </w:rPr>
              <w:t xml:space="preserve">Communication &amp; Clarity</w:t>
            </w:r>
          </w:p>
        </w:tc>
        <w:tc>
          <w:tcPr>
            <w:tcW w:type="dxa" w:w="8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>20%</w:t>
            </w:r>
          </w:p>
        </w:tc>
        <w:tc>
          <w:tcPr>
            <w:tcW w:type="dxa" w:w="14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before="170" w:after="20"/>
      </w:pPr>
      <w:r>
        <w:rPr>
          <w:b/>
          <w:bCs/>
          <w:color w:val="1F3864"/>
          <w:sz w:val="21"/>
          <w:szCs w:val="21"/>
        </w:rPr>
        <w:t xml:space="preserve">2 · The one decision you would defend hardest</w:t>
      </w:r>
    </w:p>
    <w:p>
      <w:pPr>
        <w:spacing w:after="40"/>
      </w:pPr>
      <w:r>
        <w:rPr>
          <w:color w:val="595959"/>
          <w:sz w:val="16"/>
          <w:szCs w:val="16"/>
        </w:rPr>
        <w:t xml:space="preserve">Name a single design decision — a tool you cut, the autonomy setting you chose, the dependency rule behind your parallel calls, the model you settled on — and say what evidence made it. Four or five sentences.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</w:tcPr>
          <w:p/>
          <w:p/>
          <w:p/>
          <w:p/>
          <w:p/>
        </w:tc>
      </w:tr>
    </w:tbl>
    <w:p>
      <w:pPr>
        <w:spacing w:before="170" w:after="20"/>
      </w:pPr>
      <w:r>
        <w:rPr>
          <w:b/>
          <w:bCs/>
          <w:color w:val="1F3864"/>
          <w:sz w:val="21"/>
          <w:szCs w:val="21"/>
        </w:rPr>
        <w:t xml:space="preserve">3 · The one you are least sure about</w:t>
      </w:r>
    </w:p>
    <w:p>
      <w:pPr>
        <w:spacing w:after="40"/>
      </w:pPr>
      <w:r>
        <w:rPr>
          <w:color w:val="595959"/>
          <w:sz w:val="16"/>
          <w:szCs w:val="16"/>
        </w:rPr>
        <w:t xml:space="preserve">Every team has one. Naming it costs you nothing here and it is often the most interesting thing in the submission.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</w:tcPr>
          <w:p/>
          <w:p/>
          <w:p/>
          <w:p/>
        </w:tc>
      </w:tr>
    </w:tbl>
    <w:p>
      <w:pPr>
        <w:spacing w:before="170" w:after="20"/>
      </w:pPr>
      <w:r>
        <w:rPr>
          <w:b/>
          <w:bCs/>
          <w:color w:val="1F3864"/>
          <w:sz w:val="21"/>
          <w:szCs w:val="21"/>
        </w:rPr>
        <w:t xml:space="preserve">4 · Your headline numbers</w:t>
      </w:r>
    </w:p>
    <w:p>
      <w:pPr>
        <w:spacing w:after="40"/>
      </w:pPr>
      <w:r>
        <w:rPr>
          <w:color w:val="595959"/>
          <w:sz w:val="16"/>
          <w:szCs w:val="16"/>
        </w:rPr>
        <w:t xml:space="preserve">Copy these from your repository. If any cell is empty, that is worth noticing before you submit rather than after.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3000"/>
        <w:gridCol w:w="1600"/>
      </w:tblGrid>
      <w:tr>
        <w:tc>
          <w:tcPr>
            <w:tcW w:type="dxa" w:w="3000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Value</w:t>
            </w:r>
          </w:p>
        </w:tc>
        <w:tc>
          <w:tcPr>
            <w:tcW w:type="dxa" w:w="300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  <w:szCs w:val="18"/>
              </w:rPr>
              <w:t xml:space="preserve">Evaluation cases</w:t>
            </w:r>
          </w:p>
        </w:tc>
        <w:tc>
          <w:tcPr>
            <w:tcW w:type="dxa" w:w="1600"/>
            <w:vAlign w:val="center"/>
          </w:tcPr>
          <w:p>
            <w:r>
              <w:t>40</w:t>
            </w:r>
          </w:p>
        </w:tc>
        <w:tc>
          <w:tcPr>
            <w:tcW w:type="dxa" w:w="30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>Guardrail cases</w:t>
            </w:r>
          </w:p>
        </w:tc>
        <w:tc>
          <w:tcPr>
            <w:tcW w:type="dxa" w:w="1600"/>
            <w:vAlign w:val="center"/>
          </w:tcPr>
          <w:p>
            <w:r>
              <w:t>11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  <w:szCs w:val="18"/>
              </w:rPr>
              <w:t xml:space="preserve">Negative cases</w:t>
            </w:r>
          </w:p>
        </w:tc>
        <w:tc>
          <w:tcPr>
            <w:tcW w:type="dxa" w:w="1600"/>
            <w:vAlign w:val="center"/>
          </w:tcPr>
          <w:p>
            <w:r>
              <w:t>10</w:t>
            </w:r>
          </w:p>
        </w:tc>
        <w:tc>
          <w:tcPr>
            <w:tcW w:type="dxa" w:w="30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>Live runs per model (D4)</w:t>
            </w:r>
          </w:p>
        </w:tc>
        <w:tc>
          <w:tcPr>
            <w:tcW w:type="dxa" w:w="1600"/>
            <w:vAlign w:val="center"/>
          </w:tcPr>
          <w:p>
            <w:r>
              <w:t>60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  <w:szCs w:val="18"/>
              </w:rPr>
              <w:t xml:space="preserve">Pass rate (best model)</w:t>
            </w:r>
          </w:p>
        </w:tc>
        <w:tc>
          <w:tcPr>
            <w:tcW w:type="dxa" w:w="1600"/>
            <w:vAlign w:val="center"/>
          </w:tcPr>
          <w:p>
            <w:r>
              <w:t>80.0% (GPT-4o-mini)</w:t>
            </w:r>
          </w:p>
        </w:tc>
        <w:tc>
          <w:tcPr>
            <w:tcW w:type="dxa" w:w="30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>Pass rate on negatives only</w:t>
            </w:r>
          </w:p>
        </w:tc>
        <w:tc>
          <w:tcPr>
            <w:tcW w:type="dxa" w:w="1600"/>
            <w:vAlign w:val="center"/>
          </w:tcPr>
          <w:p>
            <w:r>
              <w:t>70.0%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  <w:szCs w:val="18"/>
              </w:rPr>
              <w:t xml:space="preserve">Models in the battery</w:t>
            </w:r>
          </w:p>
        </w:tc>
        <w:tc>
          <w:tcPr>
            <w:tcW w:type="dxa" w:w="1600"/>
            <w:vAlign w:val="center"/>
          </w:tcPr>
          <w:p>
            <w:r>
              <w:t>Final-shape battery incomplete</w:t>
            </w:r>
          </w:p>
        </w:tc>
        <w:tc>
          <w:tcPr>
            <w:tcW w:type="dxa" w:w="30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>Median turns per run</w:t>
            </w:r>
          </w:p>
        </w:tc>
        <w:tc>
          <w:tcPr>
            <w:tcW w:type="dxa" w:w="1600"/>
            <w:vAlign w:val="center"/>
          </w:tcPr>
          <w:p>
            <w:r>
              <w:t>4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  <w:szCs w:val="18"/>
              </w:rPr>
              <w:t xml:space="preserve">The live model YOU ran (D5b)</w:t>
            </w:r>
          </w:p>
        </w:tc>
        <w:tc>
          <w:tcPr>
            <w:tcW w:type="dxa" w:w="1600"/>
            <w:vAlign w:val="center"/>
          </w:tcPr>
          <w:p>
            <w:r>
              <w:t>Complete individually</w:t>
            </w:r>
          </w:p>
        </w:tc>
        <w:tc>
          <w:tcPr>
            <w:tcW w:type="dxa" w:w="30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>Your pass rate on it</w:t>
            </w:r>
          </w:p>
        </w:tc>
        <w:tc>
          <w:tcPr>
            <w:tcW w:type="dxa" w:w="1600"/>
            <w:vAlign w:val="center"/>
          </w:tcPr>
          <w:p>
            <w:r>
              <w:t>Complete individually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  <w:szCs w:val="18"/>
              </w:rPr>
              <w:t xml:space="preserve">Turns saved by parallel calls</w:t>
            </w:r>
          </w:p>
        </w:tc>
        <w:tc>
          <w:tcPr>
            <w:tcW w:type="dxa" w:w="1600"/>
            <w:vAlign w:val="center"/>
          </w:tcPr>
          <w:p>
            <w:r>
              <w:t>5 total tool turns</w:t>
            </w:r>
          </w:p>
        </w:tc>
        <w:tc>
          <w:tcPr>
            <w:tcW w:type="dxa" w:w="30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>Cost per successful task</w:t>
            </w:r>
          </w:p>
        </w:tc>
        <w:tc>
          <w:tcPr>
            <w:tcW w:type="dxa" w:w="1600"/>
            <w:vAlign w:val="center"/>
          </w:tcPr>
          <w:p>
            <w:r>
              <w:t>$1.52128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  <w:szCs w:val="18"/>
              </w:rPr>
              <w:t xml:space="preserve">Monthly cost at problem volume</w:t>
            </w:r>
          </w:p>
        </w:tc>
        <w:tc>
          <w:tcPr>
            <w:tcW w:type="dxa" w:w="1600"/>
            <w:vAlign w:val="center"/>
          </w:tcPr>
          <w:p>
            <w:r>
              <w:t>$12,170.21</w:t>
            </w:r>
          </w:p>
        </w:tc>
        <w:tc>
          <w:tcPr>
            <w:tcW w:type="dxa" w:w="30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>Break-even success rate</w:t>
            </w:r>
          </w:p>
        </w:tc>
        <w:tc>
          <w:tcPr>
            <w:tcW w:type="dxa" w:w="1600"/>
            <w:vAlign w:val="center"/>
          </w:tcPr>
          <w:p>
            <w:r>
              <w:t>Not identifiable from one model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  <w:szCs w:val="18"/>
              </w:rPr>
              <w:t xml:space="preserve">Tokens per call — v1 → v2</w:t>
            </w:r>
          </w:p>
        </w:tc>
        <w:tc>
          <w:tcPr>
            <w:tcW w:type="dxa" w:w="1600"/>
            <w:vAlign w:val="center"/>
          </w:tcPr>
          <w:p>
            <w:r>
              <w:t>37.2 -&gt; 31.0</w:t>
            </w:r>
          </w:p>
        </w:tc>
        <w:tc>
          <w:tcPr>
            <w:tcW w:type="dxa" w:w="30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>Pass rate — v1 → v2, same model</w:t>
            </w:r>
          </w:p>
        </w:tc>
        <w:tc>
          <w:tcPr>
            <w:tcW w:type="dxa" w:w="1600"/>
            <w:vAlign w:val="center"/>
          </w:tcPr>
          <w:p>
            <w:r>
              <w:t>73.3% -&gt; 81.7%</w:t>
            </w:r>
          </w:p>
        </w:tc>
      </w:tr>
    </w:tbl>
    <w:p>
      <w:pPr>
        <w:spacing w:after="40"/>
      </w:pPr>
      <w:r>
        <w:rPr>
          <w:color w:val="595959"/>
          <w:sz w:val="16"/>
          <w:szCs w:val="16"/>
        </w:rPr>
        <w:t xml:space="preserve">Every member runs one live model, or the v1 pass — three models is the floor, N-1 for a team of N is the shape expected. Name YOURS. If you ran the v1 pass, write "v1 pass" and the model it sat on.</w:t>
      </w:r>
    </w:p>
    <w:p>
      <w:pPr>
        <w:spacing w:after="40"/>
      </w:pPr>
      <w:r>
        <w:rPr>
          <w:color w:val="595959"/>
          <w:sz w:val="16"/>
          <w:szCs w:val="16"/>
        </w:rPr>
        <w:t xml:space="preserve">The last row is D2(b): the descriptor rewrite you measured. Two numbers each, before and after, on ONE model. An empty row here means the rewrite was never measured.</w:t>
      </w:r>
    </w:p>
    <w:p>
      <w:pPr>
        <w:spacing w:before="170" w:after="20"/>
      </w:pPr>
      <w:r>
        <w:rPr>
          <w:b/>
          <w:bCs/>
          <w:color w:val="1F3864"/>
          <w:sz w:val="21"/>
          <w:szCs w:val="21"/>
        </w:rPr>
        <w:t xml:space="preserve">5 · Contribution</w:t>
      </w:r>
    </w:p>
    <w:p>
      <w:pPr>
        <w:spacing w:after="40"/>
      </w:pPr>
      <w:r>
        <w:rPr>
          <w:color w:val="595959"/>
          <w:sz w:val="16"/>
          <w:szCs w:val="16"/>
        </w:rPr>
        <w:t xml:space="preserve">Who owned what. This should match CONTRIBUTIONS.md and the commit history. It is not used to scale marks — the team receives the team score — but it is one of the two signals the non-contribution clause relies 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000"/>
      </w:tblGrid>
      <w:tr>
        <w:tc>
          <w:tcPr>
            <w:tcW w:type="dxa" w:w="2800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Member</w:t>
            </w:r>
          </w:p>
        </w:tc>
        <w:tc>
          <w:tcPr>
            <w:tcW w:type="dxa" w:w="340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Owned</w:t>
            </w:r>
          </w:p>
        </w:tc>
        <w:tc>
          <w:tcPr>
            <w:tcW w:type="dxa" w:w="300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Also contributed to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40"/>
      </w:pPr>
      <w:r>
        <w:rPr>
          <w:color w:val="595959"/>
          <w:sz w:val="16"/>
          <w:szCs w:val="16"/>
        </w:rPr>
        <w:t xml:space="preserve">Peer rating is separate from this sheet and comes AFTER it: NTU's Group Project peer-review function opens 13 September and closes Wednesday 16 September, 23:59 SGT. Each member completes it individually in NTULearn. It is a participation requirement.</w:t>
      </w:r>
    </w:p>
    <w:p>
      <w:pPr>
        <w:spacing w:before="170" w:after="20"/>
      </w:pPr>
      <w:r>
        <w:rPr>
          <w:b/>
          <w:bCs/>
          <w:color w:val="1F3864"/>
          <w:sz w:val="21"/>
          <w:szCs w:val="21"/>
        </w:rPr>
        <w:t xml:space="preserve">6 · Declaration</w:t>
      </w:r>
    </w:p>
    <w:p>
      <w:pPr>
        <w:spacing w:after="40"/>
      </w:pPr>
      <w:r>
        <w:rPr>
          <w:color w:val="595959"/>
          <w:sz w:val="16"/>
          <w:szCs w:val="16"/>
        </w:rPr>
        <w:t xml:space="preserve">Every member ticks every box. One sheet, signed by the team.</w:t>
      </w:r>
    </w:p>
    <w:p>
      <w:pPr>
        <w:spacing w:after="30"/>
      </w:pPr>
      <w:r>
        <w:rPr>
          <w:b/>
          <w:bCs/>
          <w:color w:val="1F3864"/>
          <w:sz w:val="19"/>
          <w:szCs w:val="19"/>
        </w:rPr>
        <w:t xml:space="preserve">[    ]     </w:t>
      </w:r>
      <w:r>
        <w:rPr>
          <w:color w:val="1A1A1A"/>
          <w:sz w:val="18"/>
          <w:szCs w:val="18"/>
        </w:rPr>
        <w:t xml:space="preserve">Every member of this team can explain every block of code we submit — what it does, and why it is there. (Block, not line: this is about function, not syntax.)</w:t>
      </w:r>
    </w:p>
    <w:p>
      <w:pPr>
        <w:spacing w:after="30"/>
      </w:pPr>
      <w:r>
        <w:rPr>
          <w:b/>
          <w:bCs/>
          <w:color w:val="1F3864"/>
          <w:sz w:val="19"/>
          <w:szCs w:val="19"/>
        </w:rPr>
        <w:t xml:space="preserve">[    ]     </w:t>
      </w:r>
      <w:r>
        <w:rPr>
          <w:color w:val="1A1A1A"/>
          <w:sz w:val="18"/>
          <w:szCs w:val="18"/>
        </w:rPr>
        <w:t xml:space="preserve">The pass rates, token counts, turn counts and costs we report are measurements we ran ourselves. None of them were supplied by an AI assistant.</w:t>
      </w:r>
    </w:p>
    <w:p>
      <w:pPr>
        <w:spacing w:after="30"/>
      </w:pPr>
      <w:r>
        <w:rPr>
          <w:b/>
          <w:bCs/>
          <w:color w:val="1F3864"/>
          <w:sz w:val="19"/>
          <w:szCs w:val="19"/>
        </w:rPr>
        <w:t xml:space="preserve">[    ]     </w:t>
      </w:r>
      <w:r>
        <w:rPr>
          <w:color w:val="1A1A1A"/>
          <w:sz w:val="18"/>
          <w:szCs w:val="18"/>
        </w:rPr>
        <w:t xml:space="preserve">Our submitted harness runs end to end on the scripted backend, with no key and no network.</w:t>
      </w:r>
    </w:p>
    <w:p>
      <w:pPr>
        <w:spacing w:after="30"/>
      </w:pPr>
      <w:r>
        <w:rPr>
          <w:b/>
          <w:bCs/>
          <w:color w:val="1F3864"/>
          <w:sz w:val="19"/>
          <w:szCs w:val="19"/>
        </w:rPr>
        <w:t xml:space="preserve">[    ]     </w:t>
      </w:r>
      <w:r>
        <w:rPr>
          <w:color w:val="1A1A1A"/>
          <w:sz w:val="18"/>
          <w:szCs w:val="18"/>
        </w:rPr>
        <w:t xml:space="preserve">We kept every fixture record we were given, unedited, and every case in our evaluation set carries a label. check_my_data.py passes on our data.</w:t>
      </w:r>
    </w:p>
    <w:p>
      <w:pPr>
        <w:spacing w:after="30"/>
      </w:pPr>
      <w:r>
        <w:rPr>
          <w:b/>
          <w:bCs/>
          <w:color w:val="1F3864"/>
          <w:sz w:val="19"/>
          <w:szCs w:val="19"/>
        </w:rPr>
        <w:t xml:space="preserve">[    ]     </w:t>
      </w:r>
      <w:r>
        <w:rPr>
          <w:color w:val="1A1A1A"/>
          <w:sz w:val="18"/>
          <w:szCs w:val="18"/>
        </w:rPr>
        <w:t xml:space="preserve">No part of this submission is drawn from any member's End-of-Course Project, and no part of it will be submitted as part of one.</w:t>
      </w:r>
    </w:p>
    <w:p>
      <w:pPr>
        <w:spacing w:after="30"/>
      </w:pPr>
      <w:r>
        <w:rPr>
          <w:b/>
          <w:bCs/>
          <w:color w:val="1F3864"/>
          <w:sz w:val="19"/>
          <w:szCs w:val="19"/>
        </w:rPr>
        <w:t xml:space="preserve">[    ]     </w:t>
      </w:r>
      <w:r>
        <w:rPr>
          <w:color w:val="1A1A1A"/>
          <w:sz w:val="18"/>
          <w:szCs w:val="18"/>
        </w:rPr>
        <w:t xml:space="preserve">This is our own work, and all sources, tools and assistance are attributed.</w:t>
      </w:r>
    </w:p>
    <w:p>
      <w:pPr>
        <w:spacing w:before="60" w:after="40"/>
      </w:pPr>
      <w:r>
        <w:rPr>
          <w:b/>
          <w:bCs/>
          <w:color w:val="1F3864"/>
          <w:sz w:val="19"/>
          <w:szCs w:val="19"/>
        </w:rPr>
        <w:t xml:space="preserve">Signed on behalf of the team: </w:t>
      </w:r>
      <w:r>
        <w:rPr>
          <w:sz w:val="19"/>
          <w:szCs w:val="19"/>
        </w:rPr>
        <w:t xml:space="preserve">______________________________          </w:t>
      </w:r>
      <w:r>
        <w:rPr>
          <w:b/>
          <w:bCs/>
          <w:color w:val="1F3864"/>
          <w:sz w:val="19"/>
          <w:szCs w:val="19"/>
        </w:rPr>
        <w:t xml:space="preserve">Date: </w:t>
      </w:r>
      <w:r>
        <w:rPr>
          <w:sz w:val="19"/>
          <w:szCs w:val="19"/>
        </w:rPr>
        <w:t xml:space="preserve">________________</w:t>
      </w:r>
    </w:p>
    <w:p>
      <w:pPr>
        <w:spacing w:before="170" w:after="40"/>
      </w:pPr>
      <w:r>
        <w:rPr>
          <w:b/>
          <w:bCs/>
          <w:color w:val="1F3864"/>
          <w:sz w:val="20"/>
          <w:szCs w:val="20"/>
        </w:rPr>
        <w:t xml:space="preserve">How this is used</w:t>
      </w:r>
    </w:p>
    <w:p>
      <w:pPr>
        <w:spacing w:after="40"/>
      </w:pPr>
      <w:r>
        <w:rPr>
          <w:color w:val="1A1A1A"/>
          <w:sz w:val="18"/>
          <w:szCs w:val="18"/>
        </w:rPr>
        <w:t xml:space="preserve">This sheet is not marked and cannot lower your grade. It is read alongside your submission for two reasons. First, how a team reads its own work is usually the fastest route to feedback that is actually useful. Second, where a team's self-rating and the marking diverge sharply, that gap gets an explicit comment — which is where the most useful feedback tends to sit.</w:t>
      </w:r>
    </w:p>
    <w:p>
      <w:r>
        <w:rPr>
          <w:b/>
        </w:rPr>
        <w:t xml:space="preserve">Team sign-off required before submission: </w:t>
      </w:r>
      <w:r>
        <w:t>complete the four rubric ratings, sections 2 and 3, each member's own live-model row, contribution confirmation, declaration ticks and signatures. These cannot be inferred or signed automatically.</w:t>
      </w:r>
    </w:p>
    <w:sectPr>
      <w:headerReference w:type="default" r:id="rId7"/>
      <w:footerReference w:type="default" r:id="rId8"/>
      <w:headerReference w:type="first" r:id="rId10"/>
      <w:headerReference w:type="even" r:id="rId11"/>
      <w:pgSz w:w="11906" w:h="16838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9DA" w:sz="6"/>
      </w:pBdr>
      <w:spacing w:before="40"/>
    </w:pPr>
    <w:r>
      <w:rPr>
        <w:color w:val="595959"/>
        <w:sz w:val="15"/>
        <w:szCs w:val="15"/>
      </w:rPr>
      <w:t xml:space="preserve">Nanyang Technological University · MSc Enterprise AI · T1 AY2026–27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9DA" w:sz="6"/>
      </w:pBdr>
      <w:spacing w:after="60"/>
    </w:pPr>
    <w:r>
      <w:rPr>
        <w:b/>
        <w:bCs/>
        <w:color w:val="1F3864"/>
        <w:sz w:val="15"/>
        <w:szCs w:val="15"/>
      </w:rPr>
      <w:t xml:space="preserve">PE6201 · EMERGING AI TECHNOLOGIES</w:t>
    </w:r>
    <w:r>
      <w:ptab w:alignment="right" w:relativeTo="margin" w:leader="none"/>
    </w:r>
    <w:r>
      <w:rPr>
        <w:color w:val="595959"/>
        <w:sz w:val="15"/>
        <w:szCs w:val="15"/>
      </w:rPr>
      <w:t>A2 · Applied AI System · Team Self-Appraisal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header" Target="head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2026-08-10T07:13:44.004Z</dcterms:created>
  <dcterms:modified xsi:type="dcterms:W3CDTF">2026-08-10T07:13:44.004Z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