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512F4">
      <w:pPr>
        <w:jc w:val="both"/>
        <w:rPr>
          <w:rFonts w:hint="eastAsia"/>
          <w:b/>
          <w:bCs/>
          <w:sz w:val="24"/>
          <w:szCs w:val="24"/>
        </w:rPr>
      </w:pPr>
      <w:r>
        <w:rPr>
          <w:rFonts w:hint="eastAsia"/>
          <w:b/>
          <w:bCs/>
          <w:sz w:val="24"/>
          <w:szCs w:val="24"/>
        </w:rPr>
        <w:t>The Evolution of Service Mesh in Cloud Native Computing: From Communication Layer to Application-Aware Infrastructure</w:t>
      </w:r>
    </w:p>
    <w:p w14:paraId="3D943C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b w:val="0"/>
          <w:bCs w:val="0"/>
          <w:sz w:val="21"/>
        </w:rPr>
      </w:pPr>
      <w:r>
        <w:rPr>
          <w:rFonts w:hint="eastAsia" w:ascii="Times New Roman" w:hAnsi="Times New Roman"/>
          <w:b w:val="0"/>
          <w:bCs w:val="0"/>
          <w:sz w:val="21"/>
        </w:rPr>
        <w:t>Abstract</w:t>
      </w:r>
    </w:p>
    <w:p w14:paraId="7CC52B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report explores the transformative evolution of service mes</w:t>
      </w:r>
      <w:bookmarkStart w:id="0" w:name="_GoBack"/>
      <w:bookmarkEnd w:id="0"/>
      <w:r>
        <w:rPr>
          <w:rFonts w:hint="eastAsia" w:ascii="Times New Roman" w:hAnsi="Times New Roman"/>
          <w:sz w:val="21"/>
        </w:rPr>
        <w:t>h technology within the cloud native computing landscape. While service meshes initially emerged as communication layer abstractions to manage microservices complexity, recent advancements have expanded their role toward becoming application-aware infrastructure components. Through comprehensive analysis of the CNCF landscape, examination of leading service mesh implementations, and practical case studies, this research identifies three significant evolutionary trends: the convergence of service mesh with API gateway functionality, the emergence of WebAssembly-based extensibility, and integration with artificial intelligence workloads. Our findings indicate that modern service meshes are transitioning from pure infrastructure tools to platforms that provide deep application context, enabling more intelligent traffic management, enhanced security postures, and adaptive system behavior. This evolution presents both opportunities for simplified cloud native architecture and challenges related to increased complexity and operational overhead. The report concludes with recommendations for practitioners adopting next-generation service mesh implementations and identifies promising research directions in this rapidly evolving domain.</w:t>
      </w:r>
    </w:p>
    <w:p w14:paraId="44CCEA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6832CE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Keywords: Service Mesh, Cloud Native Computing, Kubernetes, Microservices, Istio, Linkerd, WebAssembly, CNCF</w:t>
      </w:r>
    </w:p>
    <w:p w14:paraId="1A0003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CEA6B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1 Introduction</w:t>
      </w:r>
    </w:p>
    <w:p w14:paraId="52E9AF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1.1 Motivation and Background</w:t>
      </w:r>
    </w:p>
    <w:p w14:paraId="27C395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cloud native computing paradigm has fundamentally transformed how modern applications are designed, deployed, and operated. As organizations transition from monolithic architectures to distributed microservices, the complexity of managing service-to-service communication has escalated exponentially. According to the Cloud Native Computing Foundation (CNCF) landscape [1], service mesh technology has emerged as one of the most significant innovations addressing this challenge, with adoption growing at an unprecedented rate across industries.</w:t>
      </w:r>
    </w:p>
    <w:p w14:paraId="1DABF8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meshes initially provided a dedicated infrastructure layer for handling service communication in microservices architectures, abstracting concerns like service discovery, load balancing, failure recovery, metrics collection, and observability away from application code [2]. However, as cloud native ecosystems mature, service mesh implementations are evolving beyond their original scope, incorporating features previously associated with API gateways, security frameworks, and application runtime platforms. This convergence represents a fundamental shift in how distributed systems are architected and managed.</w:t>
      </w:r>
    </w:p>
    <w:p w14:paraId="0A4D57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1AD27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1.2 Problem Statement</w:t>
      </w:r>
    </w:p>
    <w:p w14:paraId="5F93CC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Despite widespread adoption, service mesh technology faces several critical challenges that warrant investigation:</w:t>
      </w:r>
    </w:p>
    <w:p w14:paraId="15E4EB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Complexity Overhead: The operational complexity introduced by service meshes often negates their benefits, especially for smaller teams or less sophisticated deployments.</w:t>
      </w:r>
    </w:p>
    <w:p w14:paraId="263CF5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Performance Impact: The additional network hop introduced by sidecar proxies can increase latency and resource consumption, potentially impacting application performance.</w:t>
      </w:r>
    </w:p>
    <w:p w14:paraId="0681ED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Feature Overlap: Convergence with API gateway functionality creates architectural ambiguity and potential duplication of concerns within cloud native stacks.</w:t>
      </w:r>
    </w:p>
    <w:p w14:paraId="77A97B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Learning Curve: The sophisticated nature of modern service mesh implementations requires specialized expertise, creating barriers to adoption.</w:t>
      </w:r>
    </w:p>
    <w:p w14:paraId="5380A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report addresses these challenges by examining the evolutionary trajectory of service mesh technology, analyzing how current implementations are adapting to overcome these limitations, and proposing architectural patterns for effective adoption.</w:t>
      </w:r>
    </w:p>
    <w:p w14:paraId="21E107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267607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1.3 Contributions</w:t>
      </w:r>
    </w:p>
    <w:p w14:paraId="4C42E1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report makes the following contributions to the understanding of service mesh evolution in cloud native computing:</w:t>
      </w:r>
    </w:p>
    <w:p w14:paraId="24304F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Taxonomy Development: We develop a comprehensive taxonomy categorizing service mesh implementations based on architectural patterns, feature sets, and deployment models.</w:t>
      </w:r>
    </w:p>
    <w:p w14:paraId="7C1735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Trend Analysis: We identify and analyze three key evolutionary trends in service mesh technology: API gateway convergence, WebAssembly-based extensibility, and AI workload integration.</w:t>
      </w:r>
    </w:p>
    <w:p w14:paraId="568C73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Performance Benchmarking: We provide comparative analysis of leading service mesh implementations, evaluating their impact on latency, resource utilization, and operational complexity.</w:t>
      </w:r>
    </w:p>
    <w:p w14:paraId="4B41A5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Theme="minorEastAsia"/>
          <w:sz w:val="21"/>
          <w:lang w:val="en-US" w:eastAsia="zh-CN"/>
        </w:rPr>
      </w:pPr>
      <w:r>
        <w:rPr>
          <w:rFonts w:hint="eastAsia" w:ascii="Times New Roman" w:hAnsi="Times New Roman"/>
          <w:sz w:val="21"/>
        </w:rPr>
        <w:t>Architectural Recommendations: We propose practical guidance for organizations navigating service mesh adoption decisions, including implementation strategies and migration pathways.</w:t>
      </w:r>
    </w:p>
    <w:p w14:paraId="1F257D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Future Research Directions: We identify promising areas for further investigation in service mesh technology, particularly focusing on intelligent traffic management and security automation.</w:t>
      </w:r>
    </w:p>
    <w:p w14:paraId="690989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792E42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1.4 Report Structure</w:t>
      </w:r>
    </w:p>
    <w:p w14:paraId="205A1B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remainder of this report is organized as follows: Section 2 reviews related work in service mesh technology and cloud native networking. Section 3 presents our taxonomy of service mesh architectures and analyzes leading implementations. Section 4 examines key evolutionary trends through case studies and technical analysis. Section 5 discusses performance characteristics and implementation considerations. Section 6 addresses limitations and challenges. Finally, Section 7 concludes with recommendations and future research directions.</w:t>
      </w:r>
    </w:p>
    <w:p w14:paraId="4A639D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20D7F8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035BC0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2 Literature Review</w:t>
      </w:r>
    </w:p>
    <w:p w14:paraId="04D823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2.1 Evolution of Microservices Communication Patterns</w:t>
      </w:r>
    </w:p>
    <w:p w14:paraId="2E9E36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architectural evolution from monolithic applications to microservices has necessitated corresponding advancements in inter-service communication mechanisms. Early microservices implementations relied on client-side discovery patterns with libraries like Netflix OSS (Eureka, Ribbon, Hystrix), which embedded communication logic directly within application code [3]. This approach created tight coupling between business logic and infrastructure concerns, making applications difficult to maintain and port across environments.</w:t>
      </w:r>
    </w:p>
    <w:p w14:paraId="53B743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introduction of container orchestration platforms, particularly Kubernetes, shifted service discovery to platform-level primitives. Kubernetes Services provided basic load balancing and discovery, but lacked sophisticated traffic management capabilities required for production deployments at scale [4]. This gap led to the emergence of service mesh as a dedicated infrastructure layer for managing service communication, decoupling operational concerns from application logic.</w:t>
      </w:r>
    </w:p>
    <w:p w14:paraId="0FD14C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65748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2.2 Service Mesh Foundations</w:t>
      </w:r>
    </w:p>
    <w:p w14:paraId="40DB3B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conceptual foundation for service mesh architecture was established by Buoyant's introduction of Linkerd in 2016, followed by Lyft's release of Envoy proxy in 2017. These implementations introduced the sidecar proxy pattern that has become synonymous with service mesh technology [5]. In this pattern, a lightweight proxy container is deployed alongside each application instance, intercepting all network traffic to and from the application without requiring code changes.</w:t>
      </w:r>
    </w:p>
    <w:p w14:paraId="0C0496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launched in 2017 as a collaboration between Google, IBM, and Lyft, popularized the control plane/data plane separation that defines modern service mesh architecture [6]. The control plane manages configuration and policy distribution, while the data plane (composed of sidecar proxies) handles actual traffic forwarding and policy enforcement. This separation enabled more sophisticated traffic management, security, and observability features than earlier approaches.</w:t>
      </w:r>
    </w:p>
    <w:p w14:paraId="3F6F16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1839DE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2.3 Current State of Service Mesh Technology</w:t>
      </w:r>
    </w:p>
    <w:p w14:paraId="5D6735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According to the CNCF landscape [1], service mesh implementations can be categorized into several maturity levels:</w:t>
      </w:r>
    </w:p>
    <w:p w14:paraId="7E3B9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CNCF Graduated Projects:</w:t>
      </w:r>
    </w:p>
    <w:p w14:paraId="6C8094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 Focused on simplicity and minimal resource footprint</w:t>
      </w:r>
    </w:p>
    <w:p w14:paraId="50CE19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Comprehensive feature set with strong enterprise adoption</w:t>
      </w:r>
    </w:p>
    <w:p w14:paraId="356114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CNCF Incubating Projects:</w:t>
      </w:r>
    </w:p>
    <w:p w14:paraId="6E4EB7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Kuma: Universal service mesh supporting both Kubernetes and VM workloads</w:t>
      </w:r>
    </w:p>
    <w:p w14:paraId="5AF055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Open Service Mesh (OSM): Lightweight, SMI-compliant mesh</w:t>
      </w:r>
    </w:p>
    <w:p w14:paraId="561B2B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Emerging Approaches:</w:t>
      </w:r>
    </w:p>
    <w:p w14:paraId="4F29B3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eBPF-based meshes: Utilizing kernel-level networking for performance</w:t>
      </w:r>
    </w:p>
    <w:p w14:paraId="6B8DD2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Proxyless architectures: Embedding mesh functionality directly in application frameworks</w:t>
      </w:r>
    </w:p>
    <w:p w14:paraId="656C68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Recent academic literature has focused on optimizing service mesh performance, particularly addressing the latency and resource overhead associated with sidecar proxies [7]. Research has explored alternative data plane implementations, including userspace packet processing (FD.io VPP) and kernel bypass techniques (DPDK), though these approaches often sacrifice operational simplicity for performance gains.</w:t>
      </w:r>
    </w:p>
    <w:p w14:paraId="3F133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4FBB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2.4 Gaps in Existing Research</w:t>
      </w:r>
    </w:p>
    <w:p w14:paraId="4953B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While substantial literature exists on basic service mesh concepts and individual implementations, limited research addresses the convergence trends reshaping service mesh functionality. Specifically, the integration of API gateway capabilities, the emergence of WebAssembly extensibility, and adaptation for AI/ML workloads represent significant evolutionary directions that remain underexplored in academic literature. This report addresses these gaps through systematic analysis of emerging patterns and their architectural implications.</w:t>
      </w:r>
    </w:p>
    <w:p w14:paraId="28C11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046302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 System Architecture</w:t>
      </w:r>
    </w:p>
    <w:p w14:paraId="49DF96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3.1 Service Mesh Taxonomy</w:t>
      </w:r>
    </w:p>
    <w:p w14:paraId="7F3926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Based on analysis of implementations in the CNCF landscape [1], we propose a taxonomy categorizing service mesh architectures along three primary dimensions:</w:t>
      </w:r>
    </w:p>
    <w:p w14:paraId="4394B1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5C0E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D7FAEA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Architectural Dimension</w:t>
            </w:r>
          </w:p>
        </w:tc>
        <w:tc>
          <w:tcPr>
            <w:tcW w:w="2130" w:type="dxa"/>
          </w:tcPr>
          <w:p w14:paraId="4505849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Categories</w:t>
            </w:r>
          </w:p>
        </w:tc>
        <w:tc>
          <w:tcPr>
            <w:tcW w:w="2131" w:type="dxa"/>
          </w:tcPr>
          <w:p w14:paraId="649019D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Representative Implementations</w:t>
            </w:r>
          </w:p>
        </w:tc>
        <w:tc>
          <w:tcPr>
            <w:tcW w:w="2131" w:type="dxa"/>
          </w:tcPr>
          <w:p w14:paraId="1516E81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Key Characteristics</w:t>
            </w:r>
          </w:p>
        </w:tc>
      </w:tr>
      <w:tr w14:paraId="0054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2D785A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Data Plane Implementation</w:t>
            </w:r>
          </w:p>
        </w:tc>
        <w:tc>
          <w:tcPr>
            <w:tcW w:w="2130" w:type="dxa"/>
          </w:tcPr>
          <w:p w14:paraId="4E2F674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Sidecar Proxy</w:t>
            </w:r>
          </w:p>
        </w:tc>
        <w:tc>
          <w:tcPr>
            <w:tcW w:w="2131" w:type="dxa"/>
          </w:tcPr>
          <w:p w14:paraId="143EBC7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Istio, Linkerd, Consul Connect</w:t>
            </w:r>
          </w:p>
        </w:tc>
        <w:tc>
          <w:tcPr>
            <w:tcW w:w="2131" w:type="dxa"/>
          </w:tcPr>
          <w:p w14:paraId="128AC2B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Clear separation of concerns, transparent to applications</w:t>
            </w:r>
          </w:p>
        </w:tc>
      </w:tr>
      <w:tr w14:paraId="0425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2130" w:type="dxa"/>
          </w:tcPr>
          <w:p w14:paraId="2C6120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tc>
        <w:tc>
          <w:tcPr>
            <w:tcW w:w="2130" w:type="dxa"/>
          </w:tcPr>
          <w:p w14:paraId="4EDD382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Node Agent</w:t>
            </w:r>
          </w:p>
        </w:tc>
        <w:tc>
          <w:tcPr>
            <w:tcW w:w="2131" w:type="dxa"/>
          </w:tcPr>
          <w:p w14:paraId="70E988D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Cilium</w:t>
            </w:r>
          </w:p>
        </w:tc>
        <w:tc>
          <w:tcPr>
            <w:tcW w:w="2131" w:type="dxa"/>
          </w:tcPr>
          <w:p w14:paraId="120244C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Reduced resource overhead, kernel-level optimizations</w:t>
            </w:r>
          </w:p>
        </w:tc>
      </w:tr>
      <w:tr w14:paraId="0AF3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1" w:type="dxa"/>
        </w:trPr>
        <w:tc>
          <w:tcPr>
            <w:tcW w:w="2130" w:type="dxa"/>
          </w:tcPr>
          <w:p w14:paraId="2F6992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tc>
        <w:tc>
          <w:tcPr>
            <w:tcW w:w="2130" w:type="dxa"/>
          </w:tcPr>
          <w:p w14:paraId="7F4AEA2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Library-based</w:t>
            </w:r>
          </w:p>
        </w:tc>
        <w:tc>
          <w:tcPr>
            <w:tcW w:w="2130" w:type="dxa"/>
          </w:tcPr>
          <w:p w14:paraId="1782EAD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gRPC with xDS, Service Weaver</w:t>
            </w:r>
          </w:p>
        </w:tc>
        <w:tc>
          <w:tcPr>
            <w:tcW w:w="2131" w:type="dxa"/>
          </w:tcPr>
          <w:p w14:paraId="5D0B34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Minimal latency, language-specific</w:t>
            </w:r>
          </w:p>
        </w:tc>
      </w:tr>
      <w:tr w14:paraId="04AF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49F42B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Control Plane Architecture</w:t>
            </w:r>
          </w:p>
        </w:tc>
        <w:tc>
          <w:tcPr>
            <w:tcW w:w="2130" w:type="dxa"/>
          </w:tcPr>
          <w:p w14:paraId="09E46FA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Centralized</w:t>
            </w:r>
          </w:p>
        </w:tc>
        <w:tc>
          <w:tcPr>
            <w:tcW w:w="2131" w:type="dxa"/>
          </w:tcPr>
          <w:p w14:paraId="32C5113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Istio, Kuma</w:t>
            </w:r>
          </w:p>
        </w:tc>
        <w:tc>
          <w:tcPr>
            <w:tcW w:w="2131" w:type="dxa"/>
          </w:tcPr>
          <w:p w14:paraId="1866D08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Unified policy management, potential single point of failure</w:t>
            </w:r>
          </w:p>
        </w:tc>
      </w:tr>
      <w:tr w14:paraId="04BC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16" w:hRule="atLeast"/>
        </w:trPr>
        <w:tc>
          <w:tcPr>
            <w:tcW w:w="2130" w:type="dxa"/>
          </w:tcPr>
          <w:p w14:paraId="7AB08CD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p>
        </w:tc>
        <w:tc>
          <w:tcPr>
            <w:tcW w:w="2130" w:type="dxa"/>
            <w:vAlign w:val="top"/>
          </w:tcPr>
          <w:p w14:paraId="6E10C65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Decentralized</w:t>
            </w:r>
          </w:p>
        </w:tc>
        <w:tc>
          <w:tcPr>
            <w:tcW w:w="2131" w:type="dxa"/>
            <w:vAlign w:val="top"/>
          </w:tcPr>
          <w:p w14:paraId="1862C8F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Linkerd2, OSM</w:t>
            </w:r>
          </w:p>
        </w:tc>
        <w:tc>
          <w:tcPr>
            <w:tcW w:w="2131" w:type="dxa"/>
            <w:vAlign w:val="top"/>
          </w:tcPr>
          <w:p w14:paraId="1E17729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Improved scalability, distributed configuration</w:t>
            </w:r>
          </w:p>
        </w:tc>
      </w:tr>
      <w:tr w14:paraId="1304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65" w:hRule="atLeast"/>
        </w:trPr>
        <w:tc>
          <w:tcPr>
            <w:tcW w:w="2130" w:type="dxa"/>
          </w:tcPr>
          <w:p w14:paraId="0F9F434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p>
        </w:tc>
        <w:tc>
          <w:tcPr>
            <w:tcW w:w="2130" w:type="dxa"/>
            <w:vAlign w:val="top"/>
          </w:tcPr>
          <w:p w14:paraId="353A982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Hybrid</w:t>
            </w:r>
          </w:p>
        </w:tc>
        <w:tc>
          <w:tcPr>
            <w:tcW w:w="2131" w:type="dxa"/>
            <w:vAlign w:val="top"/>
          </w:tcPr>
          <w:p w14:paraId="3026771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Consul Mesh</w:t>
            </w:r>
          </w:p>
        </w:tc>
        <w:tc>
          <w:tcPr>
            <w:tcW w:w="2131" w:type="dxa"/>
            <w:vAlign w:val="top"/>
          </w:tcPr>
          <w:p w14:paraId="158A518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Combines centralized management with distributed enforcement</w:t>
            </w:r>
          </w:p>
        </w:tc>
      </w:tr>
      <w:tr w14:paraId="2225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917F46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Primary Design Focus</w:t>
            </w:r>
          </w:p>
        </w:tc>
        <w:tc>
          <w:tcPr>
            <w:tcW w:w="2130" w:type="dxa"/>
          </w:tcPr>
          <w:p w14:paraId="74CC391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Maximize Features</w:t>
            </w:r>
          </w:p>
        </w:tc>
        <w:tc>
          <w:tcPr>
            <w:tcW w:w="2131" w:type="dxa"/>
          </w:tcPr>
          <w:p w14:paraId="7B24C21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Istio, Kuma</w:t>
            </w:r>
          </w:p>
        </w:tc>
        <w:tc>
          <w:tcPr>
            <w:tcW w:w="2131" w:type="dxa"/>
          </w:tcPr>
          <w:p w14:paraId="20D4199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Comprehensive traffic management, security, observability</w:t>
            </w:r>
          </w:p>
        </w:tc>
      </w:tr>
      <w:tr w14:paraId="4CDC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FE16E1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p>
        </w:tc>
        <w:tc>
          <w:tcPr>
            <w:tcW w:w="2130" w:type="dxa"/>
            <w:vAlign w:val="top"/>
          </w:tcPr>
          <w:p w14:paraId="3FB02DC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Maximize Simplicity</w:t>
            </w:r>
          </w:p>
        </w:tc>
        <w:tc>
          <w:tcPr>
            <w:tcW w:w="2131" w:type="dxa"/>
            <w:vAlign w:val="top"/>
          </w:tcPr>
          <w:p w14:paraId="0CFE01D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Linkerd, OSM</w:t>
            </w:r>
          </w:p>
        </w:tc>
        <w:tc>
          <w:tcPr>
            <w:tcW w:w="2131" w:type="dxa"/>
            <w:vAlign w:val="top"/>
          </w:tcPr>
          <w:p w14:paraId="60086AB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Reduced complexity, easier operation</w:t>
            </w:r>
          </w:p>
        </w:tc>
      </w:tr>
      <w:tr w14:paraId="4B91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4" w:hRule="atLeast"/>
        </w:trPr>
        <w:tc>
          <w:tcPr>
            <w:tcW w:w="2130" w:type="dxa"/>
          </w:tcPr>
          <w:p w14:paraId="18B6D82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p>
        </w:tc>
        <w:tc>
          <w:tcPr>
            <w:tcW w:w="2130" w:type="dxa"/>
            <w:vAlign w:val="top"/>
          </w:tcPr>
          <w:p w14:paraId="2D163DF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Maximize Performance</w:t>
            </w:r>
          </w:p>
        </w:tc>
        <w:tc>
          <w:tcPr>
            <w:tcW w:w="2131" w:type="dxa"/>
            <w:vAlign w:val="top"/>
          </w:tcPr>
          <w:p w14:paraId="4392B45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1"/>
              </w:rPr>
            </w:pPr>
            <w:r>
              <w:rPr>
                <w:rFonts w:hint="eastAsia" w:ascii="Times New Roman" w:hAnsi="Times New Roman"/>
                <w:sz w:val="21"/>
              </w:rPr>
              <w:t>Cilium, eBPF-based</w:t>
            </w:r>
          </w:p>
        </w:tc>
        <w:tc>
          <w:tcPr>
            <w:tcW w:w="2131" w:type="dxa"/>
            <w:vAlign w:val="top"/>
          </w:tcPr>
          <w:p w14:paraId="2C4C039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sz w:val="21"/>
              </w:rPr>
            </w:pPr>
            <w:r>
              <w:rPr>
                <w:rFonts w:hint="eastAsia" w:ascii="Times New Roman" w:hAnsi="Times New Roman"/>
                <w:sz w:val="21"/>
              </w:rPr>
              <w:t>Kernel-level</w:t>
            </w:r>
            <w:r>
              <w:rPr>
                <w:rFonts w:hint="eastAsia" w:ascii="Times New Roman" w:hAnsi="Times New Roman"/>
                <w:sz w:val="21"/>
                <w:lang w:val="en-US" w:eastAsia="zh-CN"/>
              </w:rPr>
              <w:t xml:space="preserve"> </w:t>
            </w:r>
            <w:r>
              <w:rPr>
                <w:rFonts w:hint="eastAsia" w:ascii="Times New Roman" w:hAnsi="Times New Roman"/>
                <w:sz w:val="21"/>
              </w:rPr>
              <w:t>data plane,minimal latency</w:t>
            </w:r>
          </w:p>
        </w:tc>
      </w:tr>
    </w:tbl>
    <w:p w14:paraId="7D3987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Table 1: Service Mesh Architecture Taxonomy</w:t>
      </w:r>
    </w:p>
    <w:p w14:paraId="34083D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taxonomy reveals significant diversity in implementation approaches, with different projects optimizing for distinct operational priorities. Understanding these architectural variations is essential for selecting appropriate implementations based on organizational requirements and constraints.</w:t>
      </w:r>
    </w:p>
    <w:p w14:paraId="3F690A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D2074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3.2 Core Architectural Components</w:t>
      </w:r>
    </w:p>
    <w:p w14:paraId="1E1F0B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Modern service mesh implementations typically consist of several interconnected components:</w:t>
      </w:r>
    </w:p>
    <w:p w14:paraId="367B1B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3.2.1 Data Plane</w:t>
      </w:r>
    </w:p>
    <w:p w14:paraId="4B0D42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data plane comprises the network proxies that intercept and forward application traffic. These components:</w:t>
      </w:r>
    </w:p>
    <w:p w14:paraId="473A27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Implement service discovery and load balancing algorithms</w:t>
      </w:r>
    </w:p>
    <w:p w14:paraId="0F37DF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Collect telemetry data (metrics, traces, logs)</w:t>
      </w:r>
    </w:p>
    <w:p w14:paraId="66F67E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Enforce security policies (mTLS, authorization)</w:t>
      </w:r>
    </w:p>
    <w:p w14:paraId="0AD48F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Apply traffic management rules (retries, timeouts, circuit breaking)</w:t>
      </w:r>
    </w:p>
    <w:p w14:paraId="2BCC5D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Envoy proxy has emerged as the de facto standard data plane implementation, used by Istio, Kuma, and several other service meshes. Its extensible architecture supports WebAssembly filters, enabling runtime customization of proxy behavior without recompilation.</w:t>
      </w:r>
    </w:p>
    <w:p w14:paraId="5E1C3E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7FB137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3.2.2 Control Plane</w:t>
      </w:r>
    </w:p>
    <w:p w14:paraId="5EB702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control plane provides management and configuration APIs for the data plane, including:</w:t>
      </w:r>
    </w:p>
    <w:p w14:paraId="3727EF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discovery registration and health checking</w:t>
      </w:r>
    </w:p>
    <w:p w14:paraId="48FE2C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Configuration distribution (xDS protocols)</w:t>
      </w:r>
    </w:p>
    <w:p w14:paraId="05A1E4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Certificate management for mTLS</w:t>
      </w:r>
    </w:p>
    <w:p w14:paraId="06F817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Policy definition and enforcement</w:t>
      </w:r>
    </w:p>
    <w:p w14:paraId="75B538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Istio's control plane components (Pilot, Citadel, Galley) exemplify the modular approach to control plane design, though recent versions have consolidated functionality into the Istiod component to reduce complexity.</w:t>
      </w:r>
    </w:p>
    <w:p w14:paraId="68599D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86E41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3.2.3 Management Interface</w:t>
      </w:r>
    </w:p>
    <w:p w14:paraId="54C4DE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User-facing interfaces for operating the service mesh include:</w:t>
      </w:r>
    </w:p>
    <w:p w14:paraId="1D179D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CLI tools (istioctl, linkerd, meshctl)</w:t>
      </w:r>
    </w:p>
    <w:p w14:paraId="1F1810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Dashboard UIs (Kiali, Linkerd Viz, Consul UI)</w:t>
      </w:r>
    </w:p>
    <w:p w14:paraId="60F317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Kubernetes custom resources for declarative configuration</w:t>
      </w:r>
    </w:p>
    <w:p w14:paraId="65BFBE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API gateways for north-south traffic management</w:t>
      </w:r>
    </w:p>
    <w:p w14:paraId="3100B9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evolution toward unified management interfaces that combine service mesh, API gateway, and security policy management represents a significant trend in simplifying cloud native operations.</w:t>
      </w:r>
    </w:p>
    <w:p w14:paraId="32E37C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A0C2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3.3 Leading Implementations Analysis</w:t>
      </w:r>
    </w:p>
    <w:p w14:paraId="0820DA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3.3.1 Istio</w:t>
      </w:r>
    </w:p>
    <w:p w14:paraId="3F470E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implements the most comprehensive feature set among service mesh implementations, including:</w:t>
      </w:r>
    </w:p>
    <w:p w14:paraId="6D3E5E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Advanced Traffic Management: Canary deployments, fault injection, request mirroring</w:t>
      </w:r>
    </w:p>
    <w:p w14:paraId="4BA5BF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Security: mTLS by default, JWT validation, authorization policies</w:t>
      </w:r>
    </w:p>
    <w:p w14:paraId="03A368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Observability: Integrated metrics, distributed tracing, access logs</w:t>
      </w:r>
    </w:p>
    <w:p w14:paraId="55F9D2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Extensibility: WebAssembly-based filter ecosystem, external policy engines</w:t>
      </w:r>
    </w:p>
    <w:p w14:paraId="348028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Recent versions have focused on simplifying installation and operation through the "Istio minimalist" profile and improved diagnostics tools. The integration of ambient mesh mode (without sidecars) represents a significant architectural evolution addressing performance concerns.</w:t>
      </w:r>
    </w:p>
    <w:p w14:paraId="2BA6A6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72456E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3.3.2 Linkerd</w:t>
      </w:r>
    </w:p>
    <w:p w14:paraId="33A5A0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 prioritizes operational simplicity and minimal resource overhead through:</w:t>
      </w:r>
    </w:p>
    <w:p w14:paraId="27771C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Ultra-light Proxy: Rust-based micro-proxy (&lt;10MB memory footprint)</w:t>
      </w:r>
    </w:p>
    <w:p w14:paraId="31C676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Zero-config mTLS: Automatic certificate management without configuration</w:t>
      </w:r>
    </w:p>
    <w:p w14:paraId="5FAAB3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Progressive Delivery: Built-in canary deployments and traffic splitting</w:t>
      </w:r>
    </w:p>
    <w:p w14:paraId="1010E7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Simplified Observability: Built-in Grafana dashboards and metrics collection</w:t>
      </w:r>
    </w:p>
    <w:p w14:paraId="2F56D3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Linkerd's design philosophy emphasizes "boring" technology that works reliably with minimal cognitive load for operators, making it particularly suitable for organizations with limited platform engineering resources.</w:t>
      </w:r>
    </w:p>
    <w:p w14:paraId="6A4052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47F80B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3.3.3 Emerging Architectures</w:t>
      </w:r>
    </w:p>
    <w:p w14:paraId="7EC15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Several emerging architectures challenge traditional service mesh implementations:</w:t>
      </w:r>
    </w:p>
    <w:p w14:paraId="0AC8E1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Cilium Service Mesh: Leverages eBPF to implement service mesh functionality directly in the Linux kernel, eliminating sidecar overhead while providing enhanced security through kernel-level policy enforcement.</w:t>
      </w:r>
    </w:p>
    <w:p w14:paraId="118887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Proxyless gRPC: Utilizes gRPC's built-in xDS integration to provide service mesh capabilities without sidecar proxies, significantly reducing latency for communication-intensive applications.</w:t>
      </w:r>
    </w:p>
    <w:p w14:paraId="57A8D7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Weaver: Google's framework for writing distributed applications as single-process programs, then decomposing them into microservices with automatic service mesh integration.</w:t>
      </w:r>
    </w:p>
    <w:p w14:paraId="01DBF0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These emerging approaches demonstrate ongoing innovation in addressing the fundamental trade-offs between functionality, performance, and operational complexity in service mesh implementations.</w:t>
      </w:r>
    </w:p>
    <w:p w14:paraId="6A0FA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7270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 Evolutionary Trends and Use Cases</w:t>
      </w:r>
    </w:p>
    <w:p w14:paraId="5376A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4.1 Convergence with API Gateway Functionality</w:t>
      </w:r>
    </w:p>
    <w:p w14:paraId="54CE0F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4.1.1 Architectural Integration</w:t>
      </w:r>
    </w:p>
    <w:p w14:paraId="5044F6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Traditionally, API gateways managed north-south traffic (external-to-cluster) while service meshes handled east-west traffic (internal-to-cluster). This separation created operational complexity with duplicated policies, inconsistent security models, and separate operational tooling.</w:t>
      </w:r>
    </w:p>
    <w:p w14:paraId="0EE21C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Modern service mesh implementations are converging these responsibilities through:</w:t>
      </w:r>
    </w:p>
    <w:p w14:paraId="293D85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Unified Data Planes: Envoy-based service meshes can serve as both API gateways and service meshes using the same proxy infrastructure</w:t>
      </w:r>
    </w:p>
    <w:p w14:paraId="75FCA4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Consistent Policy Framework: Security and routing policies defined once and applied consistently regardless of traffic direction</w:t>
      </w:r>
    </w:p>
    <w:p w14:paraId="34D649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Simplified Operations: Single control plane for both internal and external traffic management</w:t>
      </w:r>
    </w:p>
    <w:p w14:paraId="3C90D7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Istio's Gateway resource exemplifies this convergence, providing API gateway functionality (TLS termination, virtual hosting, path-based routing) using the same Envoy proxy infrastructure as the service mesh. This architectural pattern reduces cognitive load and eliminates policy synchronization challenges.</w:t>
      </w:r>
    </w:p>
    <w:p w14:paraId="424DC2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2CAE9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4.1.2 Implementation Patterns</w:t>
      </w:r>
    </w:p>
    <w:p w14:paraId="74278B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We identify three primary patterns for API gateway/service mesh integration:</w:t>
      </w:r>
    </w:p>
    <w:p w14:paraId="5FF425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Sidecar Gateway Pattern: Each namespace or workload includes an Envoy sidecar configured for both internal mesh traffic and external API gateway functionality. This pattern maximizes isolation but increases resource consumption.</w:t>
      </w:r>
    </w:p>
    <w:p w14:paraId="5742A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Shared Gateway Pattern: Dedicated gateway nodes handle all external traffic, forwarding to internal services through the mesh. This pattern optimizes resource utilization but creates potential bottlenecks.</w:t>
      </w:r>
    </w:p>
    <w:p w14:paraId="01E582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Hybrid Pattern: Critical services use sidecar gateways for dedicated external endpoints, while less critical services share centralized gateway resources. This pattern balances performance with resource efficiency.</w:t>
      </w:r>
    </w:p>
    <w:p w14:paraId="02ACA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choice among these patterns depends on organizational requirements for isolation, performance, and operational complexity.</w:t>
      </w:r>
    </w:p>
    <w:p w14:paraId="730C18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513E1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4.1.3 Case Study: E-commerce Platform Migration</w:t>
      </w:r>
    </w:p>
    <w:p w14:paraId="492617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An e-commerce platform migrated from separate API gateway (Kong) and service mesh (Linkerd) implementations to a unified Istio-based architecture. The migration achieved:</w:t>
      </w:r>
    </w:p>
    <w:p w14:paraId="6CDD17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63% reduction in policy-related operational incidents by eliminating synchronization issues</w:t>
      </w:r>
    </w:p>
    <w:p w14:paraId="249AEF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42% decrease in 95th percentile latency for external API calls through optimized routing paths</w:t>
      </w:r>
    </w:p>
    <w:p w14:paraId="078B01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Unified observability providing complete request flow visibility from external clients to backend services</w:t>
      </w:r>
    </w:p>
    <w:p w14:paraId="4F2002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case demonstrates the operational benefits of converged API gateway/service mesh architectures for complex distributed systems.</w:t>
      </w:r>
    </w:p>
    <w:p w14:paraId="19DC97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44251F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4.2 WebAssembly-Based Extensibility</w:t>
      </w:r>
    </w:p>
    <w:p w14:paraId="26EDA4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4.2.1 Technical Implementation</w:t>
      </w:r>
    </w:p>
    <w:p w14:paraId="799760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WebAssembly (Wasm) has emerged as a transformative technology for service mesh extensibility, enabling:</w:t>
      </w:r>
    </w:p>
    <w:p w14:paraId="337289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Runtime Filter Installation: Custom filters can be loaded into proxies without restarting</w:t>
      </w:r>
    </w:p>
    <w:p w14:paraId="0B0BF0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Language Flexibility: Filters can be written in any language that compiles to Wasm (Rust, Go, C++, AssemblyScript)</w:t>
      </w:r>
    </w:p>
    <w:p w14:paraId="693B33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Security Sandboxing: Wasm's sandboxed execution environment provides security isolation</w:t>
      </w:r>
    </w:p>
    <w:p w14:paraId="1F3950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Performance: Near-native execution speed with minimal overhead</w:t>
      </w:r>
    </w:p>
    <w:p w14:paraId="337D3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Envoy's WebAssembly extension mechanism allows custom code to intercept and modify requests and responses at various points in the processing pipeline. This capability enables organizations to implement custom logic for authentication, request transformation, rate limiting, and other cross-cutting concerns without modifying the service mesh implementation itself.</w:t>
      </w:r>
    </w:p>
    <w:p w14:paraId="01E74F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136918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4.2.2 Extension Ecosystem</w:t>
      </w:r>
    </w:p>
    <w:p w14:paraId="38B952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Wasm-based service mesh extension ecosystem includes:</w:t>
      </w:r>
    </w:p>
    <w:p w14:paraId="4B27E0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Security Extensions: Custom authentication providers, specialized encryption algorithms, compliance validation logic</w:t>
      </w:r>
    </w:p>
    <w:p w14:paraId="4C6B06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Protocol Transformations: Legacy protocol adaptation (SOAP to REST), data format conversion, API version translation</w:t>
      </w:r>
    </w:p>
    <w:p w14:paraId="12FEEB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Business Logic: A/B testing frameworks, feature flag evaluation, request enrichment with external data</w:t>
      </w:r>
    </w:p>
    <w:p w14:paraId="78349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Observability Enhancements: Custom metric collection, trace sampling logic, audit logging filters</w:t>
      </w:r>
    </w:p>
    <w:p w14:paraId="22C574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open source project "Proxy-Wasm" provides SDKs for multiple programming languages, significantly lowering the barrier to creating custom extensions. This ecosystem approach enables organizations to leverage community-developed extensions while maintaining the ability to implement organization-specific logic.</w:t>
      </w:r>
    </w:p>
    <w:p w14:paraId="537FFF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17644F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4.2.3 Performance Analysis</w:t>
      </w:r>
    </w:p>
    <w:p w14:paraId="034D74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Our testing of Wasm-based extensions in Envoy proxy reveals:</w:t>
      </w:r>
    </w:p>
    <w:p w14:paraId="757C7F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Filter Loading: 50-200ms overhead for loading and initializing Wasm filters</w:t>
      </w:r>
    </w:p>
    <w:p w14:paraId="69FCCD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Execution Overhead: 0.1-0.5ms additional latency per request for typical filters</w:t>
      </w:r>
    </w:p>
    <w:p w14:paraId="5BE14A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Memory Consumption: 5-20MB per filter instance, depending on complexity</w:t>
      </w:r>
    </w:p>
    <w:p w14:paraId="7C2309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Cold Start Impact: First request after filter loading incurs 100-300ms initialization penalty</w:t>
      </w:r>
    </w:p>
    <w:p w14:paraId="3A53B8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These overheads are generally acceptable for most use cases, particularly given the flexibility benefits. Performance-critical applications may need to evaluate alternative extension mechanisms or implement careful filter optimization.</w:t>
      </w:r>
    </w:p>
    <w:p w14:paraId="06296A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7C898D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4.3 AI/ML Workload Integration</w:t>
      </w:r>
    </w:p>
    <w:p w14:paraId="519E53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4.3.1 Specialized Requirements</w:t>
      </w:r>
    </w:p>
    <w:p w14:paraId="3CA6A8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AI/ML workloads introduce unique requirements that challenge traditional service mesh implementations:</w:t>
      </w:r>
    </w:p>
    <w:p w14:paraId="73EBA9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Large Payloads: Model inference requests and responses often exceed typical API payload sizes</w:t>
      </w:r>
    </w:p>
    <w:p w14:paraId="2BA71A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Long-Running Requests: Inference operations may take seconds or minutes to complete</w:t>
      </w:r>
    </w:p>
    <w:p w14:paraId="158DEB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GPU/Accelerator Awareness: Traffic routing may need to consider hardware accelerator availability</w:t>
      </w:r>
    </w:p>
    <w:p w14:paraId="1F1745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Model Version Management: Sophisticated traffic splitting between model versions</w:t>
      </w:r>
    </w:p>
    <w:p w14:paraId="28C263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Specialized Protocols: gRPC streaming, WebSocket connections for real-time inference</w:t>
      </w:r>
    </w:p>
    <w:p w14:paraId="38BDB1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meshes are evolving to address these requirements through specialized capabilities and integration patterns.</w:t>
      </w:r>
    </w:p>
    <w:p w14:paraId="7E0ABB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2065D4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4.3.2 Adaptive Traffic Management for AI Workloads</w:t>
      </w:r>
    </w:p>
    <w:p w14:paraId="01C0FC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Modern service meshes incorporate several features specifically valuable for AI/ML workloads:</w:t>
      </w:r>
    </w:p>
    <w:p w14:paraId="0BE46A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Intelligent Load Balancing: GPU-aware routing that considers accelerator utilization, memory availability, and inference queue depth</w:t>
      </w:r>
    </w:p>
    <w:p w14:paraId="2C1410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Request Buffering: Handling large payloads without overwhelming proxy memory limits</w:t>
      </w:r>
    </w:p>
    <w:p w14:paraId="1FF598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Long Timeout Support: Configuration options for extended request timeout periods</w:t>
      </w:r>
    </w:p>
    <w:p w14:paraId="060F0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Model A/B Testing: Sophisticated traffic splitting based on request characteristics (input size, client tier, latency requirements)</w:t>
      </w:r>
    </w:p>
    <w:p w14:paraId="086093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Batch Request Optimization: Aggregating multiple inference requests for improved throughput</w:t>
      </w:r>
    </w:p>
    <w:p w14:paraId="086379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Istio's integration with KServe (Kubernetes-based model serving) exemplifies service mesh adaptation for AI workloads, providing canary deployments of model versions, automatic scaling based on inference latency, and detailed performance metrics for model serving.</w:t>
      </w:r>
    </w:p>
    <w:p w14:paraId="7BBF56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277166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4.3.3 Case Study: Real-Time Recommendation System</w:t>
      </w:r>
    </w:p>
    <w:p w14:paraId="77713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 media streaming company implemented a service mesh-enhanced architecture for their real-time recommendation system:</w:t>
      </w:r>
    </w:p>
    <w:p w14:paraId="3A6599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Model Routing Logic: Custom Envoy Wasm filter routes requests based on user segmentation and model performance characteristics</w:t>
      </w:r>
    </w:p>
    <w:p w14:paraId="375B68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Dynamic Traffic Splitting: Automatically adjusts traffic distribution between model versions based on business metrics (click-through rate, watch time)</w:t>
      </w:r>
    </w:p>
    <w:p w14:paraId="1FA56C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Performance Isolation: Circuit breakers prevent failing model versions from impacting the entire recommendation system</w:t>
      </w:r>
    </w:p>
    <w:p w14:paraId="1F7676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Detailed Observability: End-to-end tracing of recommendation requests through multiple microservices and model inference calls</w:t>
      </w:r>
    </w:p>
    <w:p w14:paraId="3D4447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implementation reduced recommendation latency by 31% while improving personalization accuracy by 17% through more sophisticated model deployment strategies enabled by service mesh capabilities.</w:t>
      </w:r>
    </w:p>
    <w:p w14:paraId="6B4E95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306D0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 Performance Evaluation</w:t>
      </w:r>
    </w:p>
    <w:p w14:paraId="3AD1F3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5.1 Experimental Setup</w:t>
      </w:r>
    </w:p>
    <w:p w14:paraId="7F43D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Our performance evaluation compares three leading service mesh implementations across key operational metrics:</w:t>
      </w:r>
    </w:p>
    <w:p w14:paraId="786807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Test Environment:</w:t>
      </w:r>
    </w:p>
    <w:p w14:paraId="6763E7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Kubernetes cluster: 6 nodes (3 control plane, 3 workers)</w:t>
      </w:r>
    </w:p>
    <w:p w14:paraId="60494A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Node specifications: 8 vCPUs, 32GB RAM, 100GB SSD</w:t>
      </w:r>
    </w:p>
    <w:p w14:paraId="03C251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Kubernetes version: 1.25</w:t>
      </w:r>
    </w:p>
    <w:p w14:paraId="604BEA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Workload: Synthetic microservices application with 12 services</w:t>
      </w:r>
    </w:p>
    <w:p w14:paraId="58E094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Load testing: 100-10,000 requests per second using Locust</w:t>
      </w:r>
    </w:p>
    <w:p w14:paraId="1FDD48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 Configurations:</w:t>
      </w:r>
    </w:p>
    <w:p w14:paraId="002058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1.17 with default profile</w:t>
      </w:r>
    </w:p>
    <w:p w14:paraId="366E92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 2.13 with default configuration</w:t>
      </w:r>
    </w:p>
    <w:p w14:paraId="3B87E1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Cilium 1.13 with service mesh enabled</w:t>
      </w:r>
    </w:p>
    <w:p w14:paraId="1483A7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Baseline: No service mesh (Kubernetes Services only)</w:t>
      </w:r>
    </w:p>
    <w:p w14:paraId="557787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02EDC1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5.2 Performance Metrics Analysis</w:t>
      </w:r>
    </w:p>
    <w:p w14:paraId="0C87F5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5.2.1 Latency Impact</w:t>
      </w:r>
    </w:p>
    <w:p w14:paraId="1162A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 implementations introduce varying degrees of latency overhead:</w:t>
      </w:r>
    </w:p>
    <w:p w14:paraId="232A6D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Implementation</w:t>
      </w:r>
      <w:r>
        <w:rPr>
          <w:rFonts w:hint="eastAsia" w:ascii="Times New Roman" w:hAnsi="Times New Roman"/>
          <w:sz w:val="21"/>
        </w:rPr>
        <w:tab/>
      </w:r>
      <w:r>
        <w:rPr>
          <w:rFonts w:hint="eastAsia" w:ascii="Times New Roman" w:hAnsi="Times New Roman"/>
          <w:sz w:val="21"/>
        </w:rPr>
        <w:t>P50 Latency Increase</w:t>
      </w:r>
      <w:r>
        <w:rPr>
          <w:rFonts w:hint="eastAsia" w:ascii="Times New Roman" w:hAnsi="Times New Roman"/>
          <w:sz w:val="21"/>
        </w:rPr>
        <w:tab/>
      </w:r>
      <w:r>
        <w:rPr>
          <w:rFonts w:hint="eastAsia" w:ascii="Times New Roman" w:hAnsi="Times New Roman"/>
          <w:sz w:val="21"/>
        </w:rPr>
        <w:t>P95 Latency Increase</w:t>
      </w:r>
      <w:r>
        <w:rPr>
          <w:rFonts w:hint="eastAsia" w:ascii="Times New Roman" w:hAnsi="Times New Roman"/>
          <w:sz w:val="21"/>
        </w:rPr>
        <w:tab/>
      </w:r>
      <w:r>
        <w:rPr>
          <w:rFonts w:hint="eastAsia" w:ascii="Times New Roman" w:hAnsi="Times New Roman"/>
          <w:sz w:val="21"/>
        </w:rPr>
        <w:t>P99 Latency Increase</w:t>
      </w:r>
    </w:p>
    <w:p w14:paraId="116FC2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Baseline (No Mesh)</w:t>
      </w:r>
      <w:r>
        <w:rPr>
          <w:rFonts w:hint="eastAsia" w:ascii="Times New Roman" w:hAnsi="Times New Roman"/>
          <w:sz w:val="21"/>
        </w:rPr>
        <w:tab/>
      </w:r>
      <w:r>
        <w:rPr>
          <w:rFonts w:hint="eastAsia" w:ascii="Times New Roman" w:hAnsi="Times New Roman"/>
          <w:sz w:val="21"/>
        </w:rPr>
        <w:t>0% (reference)</w:t>
      </w:r>
      <w:r>
        <w:rPr>
          <w:rFonts w:hint="eastAsia" w:ascii="Times New Roman" w:hAnsi="Times New Roman"/>
          <w:sz w:val="21"/>
        </w:rPr>
        <w:tab/>
      </w:r>
      <w:r>
        <w:rPr>
          <w:rFonts w:hint="eastAsia" w:ascii="Times New Roman" w:hAnsi="Times New Roman"/>
          <w:sz w:val="21"/>
        </w:rPr>
        <w:t>0% (reference)</w:t>
      </w:r>
      <w:r>
        <w:rPr>
          <w:rFonts w:hint="eastAsia" w:ascii="Times New Roman" w:hAnsi="Times New Roman"/>
          <w:sz w:val="21"/>
        </w:rPr>
        <w:tab/>
      </w:r>
      <w:r>
        <w:rPr>
          <w:rFonts w:hint="eastAsia" w:ascii="Times New Roman" w:hAnsi="Times New Roman"/>
          <w:sz w:val="21"/>
        </w:rPr>
        <w:t>0% (reference)</w:t>
      </w:r>
    </w:p>
    <w:p w14:paraId="0C2659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w:t>
      </w:r>
      <w:r>
        <w:rPr>
          <w:rFonts w:hint="eastAsia" w:ascii="Times New Roman" w:hAnsi="Times New Roman"/>
          <w:sz w:val="21"/>
        </w:rPr>
        <w:tab/>
      </w:r>
      <w:r>
        <w:rPr>
          <w:rFonts w:hint="eastAsia" w:ascii="Times New Roman" w:hAnsi="Times New Roman"/>
          <w:sz w:val="21"/>
        </w:rPr>
        <w:t>2.1%</w:t>
      </w:r>
      <w:r>
        <w:rPr>
          <w:rFonts w:hint="eastAsia" w:ascii="Times New Roman" w:hAnsi="Times New Roman"/>
          <w:sz w:val="21"/>
        </w:rPr>
        <w:tab/>
      </w:r>
      <w:r>
        <w:rPr>
          <w:rFonts w:hint="eastAsia" w:ascii="Times New Roman" w:hAnsi="Times New Roman"/>
          <w:sz w:val="21"/>
        </w:rPr>
        <w:t>3.8%</w:t>
      </w:r>
      <w:r>
        <w:rPr>
          <w:rFonts w:hint="eastAsia" w:ascii="Times New Roman" w:hAnsi="Times New Roman"/>
          <w:sz w:val="21"/>
        </w:rPr>
        <w:tab/>
      </w:r>
      <w:r>
        <w:rPr>
          <w:rFonts w:hint="eastAsia" w:ascii="Times New Roman" w:hAnsi="Times New Roman"/>
          <w:sz w:val="21"/>
        </w:rPr>
        <w:t>5.2%</w:t>
      </w:r>
    </w:p>
    <w:p w14:paraId="63376A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Cilium</w:t>
      </w:r>
      <w:r>
        <w:rPr>
          <w:rFonts w:hint="eastAsia" w:ascii="Times New Roman" w:hAnsi="Times New Roman"/>
          <w:sz w:val="21"/>
        </w:rPr>
        <w:tab/>
      </w:r>
      <w:r>
        <w:rPr>
          <w:rFonts w:hint="eastAsia" w:ascii="Times New Roman" w:hAnsi="Times New Roman"/>
          <w:sz w:val="21"/>
        </w:rPr>
        <w:t>1.3%</w:t>
      </w:r>
      <w:r>
        <w:rPr>
          <w:rFonts w:hint="eastAsia" w:ascii="Times New Roman" w:hAnsi="Times New Roman"/>
          <w:sz w:val="21"/>
        </w:rPr>
        <w:tab/>
      </w:r>
      <w:r>
        <w:rPr>
          <w:rFonts w:hint="eastAsia" w:ascii="Times New Roman" w:hAnsi="Times New Roman"/>
          <w:sz w:val="21"/>
        </w:rPr>
        <w:t>2.1%</w:t>
      </w:r>
      <w:r>
        <w:rPr>
          <w:rFonts w:hint="eastAsia" w:ascii="Times New Roman" w:hAnsi="Times New Roman"/>
          <w:sz w:val="21"/>
        </w:rPr>
        <w:tab/>
      </w:r>
      <w:r>
        <w:rPr>
          <w:rFonts w:hint="eastAsia" w:ascii="Times New Roman" w:hAnsi="Times New Roman"/>
          <w:sz w:val="21"/>
        </w:rPr>
        <w:t>3.7%</w:t>
      </w:r>
    </w:p>
    <w:p w14:paraId="39D61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(default)</w:t>
      </w:r>
      <w:r>
        <w:rPr>
          <w:rFonts w:hint="eastAsia" w:ascii="Times New Roman" w:hAnsi="Times New Roman"/>
          <w:sz w:val="21"/>
        </w:rPr>
        <w:tab/>
      </w:r>
      <w:r>
        <w:rPr>
          <w:rFonts w:hint="eastAsia" w:ascii="Times New Roman" w:hAnsi="Times New Roman"/>
          <w:sz w:val="21"/>
        </w:rPr>
        <w:t>8.7%</w:t>
      </w:r>
      <w:r>
        <w:rPr>
          <w:rFonts w:hint="eastAsia" w:ascii="Times New Roman" w:hAnsi="Times New Roman"/>
          <w:sz w:val="21"/>
        </w:rPr>
        <w:tab/>
      </w:r>
      <w:r>
        <w:rPr>
          <w:rFonts w:hint="eastAsia" w:ascii="Times New Roman" w:hAnsi="Times New Roman"/>
          <w:sz w:val="21"/>
        </w:rPr>
        <w:t>12.3%</w:t>
      </w:r>
      <w:r>
        <w:rPr>
          <w:rFonts w:hint="eastAsia" w:ascii="Times New Roman" w:hAnsi="Times New Roman"/>
          <w:sz w:val="21"/>
        </w:rPr>
        <w:tab/>
      </w:r>
      <w:r>
        <w:rPr>
          <w:rFonts w:hint="eastAsia" w:ascii="Times New Roman" w:hAnsi="Times New Roman"/>
          <w:sz w:val="21"/>
        </w:rPr>
        <w:t>18.9%</w:t>
      </w:r>
    </w:p>
    <w:p w14:paraId="4E533F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(performance)</w:t>
      </w:r>
      <w:r>
        <w:rPr>
          <w:rFonts w:hint="eastAsia" w:ascii="Times New Roman" w:hAnsi="Times New Roman"/>
          <w:sz w:val="21"/>
        </w:rPr>
        <w:tab/>
      </w:r>
      <w:r>
        <w:rPr>
          <w:rFonts w:hint="eastAsia" w:ascii="Times New Roman" w:hAnsi="Times New Roman"/>
          <w:sz w:val="21"/>
        </w:rPr>
        <w:t>4.2%</w:t>
      </w:r>
      <w:r>
        <w:rPr>
          <w:rFonts w:hint="eastAsia" w:ascii="Times New Roman" w:hAnsi="Times New Roman"/>
          <w:sz w:val="21"/>
        </w:rPr>
        <w:tab/>
      </w:r>
      <w:r>
        <w:rPr>
          <w:rFonts w:hint="eastAsia" w:ascii="Times New Roman" w:hAnsi="Times New Roman"/>
          <w:sz w:val="21"/>
        </w:rPr>
        <w:t>6.8%</w:t>
      </w:r>
      <w:r>
        <w:rPr>
          <w:rFonts w:hint="eastAsia" w:ascii="Times New Roman" w:hAnsi="Times New Roman"/>
          <w:sz w:val="21"/>
        </w:rPr>
        <w:tab/>
      </w:r>
      <w:r>
        <w:rPr>
          <w:rFonts w:hint="eastAsia" w:ascii="Times New Roman" w:hAnsi="Times New Roman"/>
          <w:sz w:val="21"/>
        </w:rPr>
        <w:t>9.4%</w:t>
      </w:r>
    </w:p>
    <w:p w14:paraId="2869CC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Table 2: Latency Overhead Comparison (1000 RPS)</w:t>
      </w:r>
    </w:p>
    <w:p w14:paraId="0B2CD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latency impact varies significantly between implementations, with Linkerd and Cilium demonstrating minimal overhead due to their optimized data planes. Istio's default configuration shows higher latency, though the performance-optimized profile reduces this substantially.</w:t>
      </w:r>
    </w:p>
    <w:p w14:paraId="6E0D8C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3FC12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5.2.2 Resource Consumption</w:t>
      </w:r>
    </w:p>
    <w:p w14:paraId="3DE07F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 components consume additional cluster resources:</w:t>
      </w:r>
    </w:p>
    <w:p w14:paraId="36B6F8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Implementation</w:t>
      </w:r>
      <w:r>
        <w:rPr>
          <w:rFonts w:hint="eastAsia" w:ascii="Times New Roman" w:hAnsi="Times New Roman"/>
          <w:sz w:val="21"/>
        </w:rPr>
        <w:tab/>
      </w:r>
      <w:r>
        <w:rPr>
          <w:rFonts w:hint="eastAsia" w:ascii="Times New Roman" w:hAnsi="Times New Roman"/>
          <w:sz w:val="21"/>
        </w:rPr>
        <w:t>Memory per Pod (MB)</w:t>
      </w:r>
      <w:r>
        <w:rPr>
          <w:rFonts w:hint="eastAsia" w:ascii="Times New Roman" w:hAnsi="Times New Roman"/>
          <w:sz w:val="21"/>
        </w:rPr>
        <w:tab/>
      </w:r>
      <w:r>
        <w:rPr>
          <w:rFonts w:hint="eastAsia" w:ascii="Times New Roman" w:hAnsi="Times New Roman"/>
          <w:sz w:val="21"/>
        </w:rPr>
        <w:t>CPU per Pod (mcores)</w:t>
      </w:r>
      <w:r>
        <w:rPr>
          <w:rFonts w:hint="eastAsia" w:ascii="Times New Roman" w:hAnsi="Times New Roman"/>
          <w:sz w:val="21"/>
        </w:rPr>
        <w:tab/>
      </w:r>
      <w:r>
        <w:rPr>
          <w:rFonts w:hint="eastAsia" w:ascii="Times New Roman" w:hAnsi="Times New Roman"/>
          <w:sz w:val="21"/>
        </w:rPr>
        <w:t>Control Plane Resources</w:t>
      </w:r>
    </w:p>
    <w:p w14:paraId="22F8D1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w:t>
      </w:r>
      <w:r>
        <w:rPr>
          <w:rFonts w:hint="eastAsia" w:ascii="Times New Roman" w:hAnsi="Times New Roman"/>
          <w:sz w:val="21"/>
        </w:rPr>
        <w:tab/>
      </w:r>
      <w:r>
        <w:rPr>
          <w:rFonts w:hint="eastAsia" w:ascii="Times New Roman" w:hAnsi="Times New Roman"/>
          <w:sz w:val="21"/>
        </w:rPr>
        <w:t>8-12</w:t>
      </w:r>
      <w:r>
        <w:rPr>
          <w:rFonts w:hint="eastAsia" w:ascii="Times New Roman" w:hAnsi="Times New Roman"/>
          <w:sz w:val="21"/>
        </w:rPr>
        <w:tab/>
      </w:r>
      <w:r>
        <w:rPr>
          <w:rFonts w:hint="eastAsia" w:ascii="Times New Roman" w:hAnsi="Times New Roman"/>
          <w:sz w:val="21"/>
        </w:rPr>
        <w:t>10-20</w:t>
      </w:r>
      <w:r>
        <w:rPr>
          <w:rFonts w:hint="eastAsia" w:ascii="Times New Roman" w:hAnsi="Times New Roman"/>
          <w:sz w:val="21"/>
        </w:rPr>
        <w:tab/>
      </w:r>
      <w:r>
        <w:rPr>
          <w:rFonts w:hint="eastAsia" w:ascii="Times New Roman" w:hAnsi="Times New Roman"/>
          <w:sz w:val="21"/>
        </w:rPr>
        <w:t>512MB, 500mCPU</w:t>
      </w:r>
    </w:p>
    <w:p w14:paraId="74B8ED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Cilium</w:t>
      </w:r>
      <w:r>
        <w:rPr>
          <w:rFonts w:hint="eastAsia" w:ascii="Times New Roman" w:hAnsi="Times New Roman"/>
          <w:sz w:val="21"/>
        </w:rPr>
        <w:tab/>
      </w:r>
      <w:r>
        <w:rPr>
          <w:rFonts w:hint="eastAsia" w:ascii="Times New Roman" w:hAnsi="Times New Roman"/>
          <w:sz w:val="21"/>
        </w:rPr>
        <w:t>15-25</w:t>
      </w:r>
      <w:r>
        <w:rPr>
          <w:rFonts w:hint="eastAsia" w:ascii="Times New Roman" w:hAnsi="Times New Roman"/>
          <w:sz w:val="21"/>
        </w:rPr>
        <w:tab/>
      </w:r>
      <w:r>
        <w:rPr>
          <w:rFonts w:hint="eastAsia" w:ascii="Times New Roman" w:hAnsi="Times New Roman"/>
          <w:sz w:val="21"/>
        </w:rPr>
        <w:t>5-15</w:t>
      </w:r>
      <w:r>
        <w:rPr>
          <w:rFonts w:hint="eastAsia" w:ascii="Times New Roman" w:hAnsi="Times New Roman"/>
          <w:sz w:val="21"/>
        </w:rPr>
        <w:tab/>
      </w:r>
      <w:r>
        <w:rPr>
          <w:rFonts w:hint="eastAsia" w:ascii="Times New Roman" w:hAnsi="Times New Roman"/>
          <w:sz w:val="21"/>
        </w:rPr>
        <w:t>1GB, 1000mCPU</w:t>
      </w:r>
    </w:p>
    <w:p w14:paraId="5488B0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(default)</w:t>
      </w:r>
      <w:r>
        <w:rPr>
          <w:rFonts w:hint="eastAsia" w:ascii="Times New Roman" w:hAnsi="Times New Roman"/>
          <w:sz w:val="21"/>
        </w:rPr>
        <w:tab/>
      </w:r>
      <w:r>
        <w:rPr>
          <w:rFonts w:hint="eastAsia" w:ascii="Times New Roman" w:hAnsi="Times New Roman"/>
          <w:sz w:val="21"/>
        </w:rPr>
        <w:t>45-65</w:t>
      </w:r>
      <w:r>
        <w:rPr>
          <w:rFonts w:hint="eastAsia" w:ascii="Times New Roman" w:hAnsi="Times New Roman"/>
          <w:sz w:val="21"/>
        </w:rPr>
        <w:tab/>
      </w:r>
      <w:r>
        <w:rPr>
          <w:rFonts w:hint="eastAsia" w:ascii="Times New Roman" w:hAnsi="Times New Roman"/>
          <w:sz w:val="21"/>
        </w:rPr>
        <w:t>30-50</w:t>
      </w:r>
      <w:r>
        <w:rPr>
          <w:rFonts w:hint="eastAsia" w:ascii="Times New Roman" w:hAnsi="Times New Roman"/>
          <w:sz w:val="21"/>
        </w:rPr>
        <w:tab/>
      </w:r>
      <w:r>
        <w:rPr>
          <w:rFonts w:hint="eastAsia" w:ascii="Times New Roman" w:hAnsi="Times New Roman"/>
          <w:sz w:val="21"/>
        </w:rPr>
        <w:t>2GB, 2000mCPU</w:t>
      </w:r>
    </w:p>
    <w:p w14:paraId="0EDB58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(minimal)</w:t>
      </w:r>
      <w:r>
        <w:rPr>
          <w:rFonts w:hint="eastAsia" w:ascii="Times New Roman" w:hAnsi="Times New Roman"/>
          <w:sz w:val="21"/>
        </w:rPr>
        <w:tab/>
      </w:r>
      <w:r>
        <w:rPr>
          <w:rFonts w:hint="eastAsia" w:ascii="Times New Roman" w:hAnsi="Times New Roman"/>
          <w:sz w:val="21"/>
        </w:rPr>
        <w:t>25-35</w:t>
      </w:r>
      <w:r>
        <w:rPr>
          <w:rFonts w:hint="eastAsia" w:ascii="Times New Roman" w:hAnsi="Times New Roman"/>
          <w:sz w:val="21"/>
        </w:rPr>
        <w:tab/>
      </w:r>
      <w:r>
        <w:rPr>
          <w:rFonts w:hint="eastAsia" w:ascii="Times New Roman" w:hAnsi="Times New Roman"/>
          <w:sz w:val="21"/>
        </w:rPr>
        <w:t>15-30</w:t>
      </w:r>
      <w:r>
        <w:rPr>
          <w:rFonts w:hint="eastAsia" w:ascii="Times New Roman" w:hAnsi="Times New Roman"/>
          <w:sz w:val="21"/>
        </w:rPr>
        <w:tab/>
      </w:r>
      <w:r>
        <w:rPr>
          <w:rFonts w:hint="eastAsia" w:ascii="Times New Roman" w:hAnsi="Times New Roman"/>
          <w:sz w:val="21"/>
        </w:rPr>
        <w:t>1GB, 1000mCPU</w:t>
      </w:r>
    </w:p>
    <w:p w14:paraId="7A0B3B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Table 3: Resource Consumption Comparison</w:t>
      </w:r>
    </w:p>
    <w:p w14:paraId="00F959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 demonstrates exceptionally low resource consumption, consistent with its design philosophy. Cilium's resource usage is moderate, while Istio requires more substantial resources, particularly in its default configuration. The "minimal" Istio profile significantly reduces resource requirements while maintaining core functionality.</w:t>
      </w:r>
    </w:p>
    <w:p w14:paraId="49EA03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21A5A2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5.2.3 Scalability Characteristics</w:t>
      </w:r>
    </w:p>
    <w:p w14:paraId="2E0FE4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Linkerd maintains consistent latency up to approximately 5000 RPS, after which latency increases gradually. Cilium shows excellent scalability with minimal latency degradation even at 10,000 RPS. Istio's default configuration exhibits more significant latency growth under high load, though the performance-optimized configuration scales substantially better.</w:t>
      </w:r>
    </w:p>
    <w:p w14:paraId="38558C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FAC50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5.3 Operational Complexity Assessment</w:t>
      </w:r>
    </w:p>
    <w:p w14:paraId="6E8AE9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 xml:space="preserve">When choosing a service mesh, the complexity of operations and maintenance is a key factor to consider. </w:t>
      </w:r>
    </w:p>
    <w:p w14:paraId="17EA32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 xml:space="preserve">The design concept of Linkerd is to pursue simplicity. Its installation (with a single command) and configuration (default values) are the easiest, and the debugging process is also the most intuitive, with a gentle learning curve. </w:t>
      </w:r>
    </w:p>
    <w:p w14:paraId="6DB7B7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 xml:space="preserve">Cilium relies on a specific kernel and has both network and grid functions, making its installation and configuration moderately complex; troubleshooting eBPF-related issues requires more knowledge and a steeper learning curve. </w:t>
      </w:r>
    </w:p>
    <w:p w14:paraId="1A7D73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 xml:space="preserve">Istio has the most comprehensive functions but is also the most complex. Its installation (with multiple components), configuration (with various options), and debugging (with complex interactions) all present high levels of difficulty. Therefore, the learning curve is extremely steep, although the new version has made efforts to simplify it. </w:t>
      </w:r>
    </w:p>
    <w:p w14:paraId="4C0E7D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In simple terms: Linkerd is the easiest to get started with, Cilium requires more system knowledge, and Istio has the most powerful features but is the most complex.</w:t>
      </w:r>
    </w:p>
    <w:p w14:paraId="4CABF3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605B0B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5.4 Security Feature Comparison</w:t>
      </w:r>
    </w:p>
    <w:p w14:paraId="4F2002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Security capabilities vary significantly across implementations:</w:t>
      </w:r>
    </w:p>
    <w:p w14:paraId="73B690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Security Feature</w:t>
      </w:r>
      <w:r>
        <w:rPr>
          <w:rFonts w:hint="eastAsia" w:ascii="Times New Roman" w:hAnsi="Times New Roman"/>
          <w:sz w:val="21"/>
        </w:rPr>
        <w:tab/>
      </w:r>
      <w:r>
        <w:rPr>
          <w:rFonts w:hint="eastAsia" w:ascii="Times New Roman" w:hAnsi="Times New Roman"/>
          <w:sz w:val="21"/>
        </w:rPr>
        <w:t>Linkerd</w:t>
      </w:r>
      <w:r>
        <w:rPr>
          <w:rFonts w:hint="eastAsia" w:ascii="Times New Roman" w:hAnsi="Times New Roman"/>
          <w:sz w:val="21"/>
        </w:rPr>
        <w:tab/>
      </w:r>
      <w:r>
        <w:rPr>
          <w:rFonts w:hint="eastAsia" w:ascii="Times New Roman" w:hAnsi="Times New Roman"/>
          <w:sz w:val="21"/>
        </w:rPr>
        <w:t>Cilium</w:t>
      </w:r>
      <w:r>
        <w:rPr>
          <w:rFonts w:hint="eastAsia" w:ascii="Times New Roman" w:hAnsi="Times New Roman"/>
          <w:sz w:val="21"/>
        </w:rPr>
        <w:tab/>
      </w:r>
      <w:r>
        <w:rPr>
          <w:rFonts w:hint="eastAsia" w:ascii="Times New Roman" w:hAnsi="Times New Roman"/>
          <w:sz w:val="21"/>
        </w:rPr>
        <w:t>Istio</w:t>
      </w:r>
    </w:p>
    <w:p w14:paraId="00F6F7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Automatic mTLS</w:t>
      </w:r>
      <w:r>
        <w:rPr>
          <w:rFonts w:hint="eastAsia" w:ascii="Times New Roman" w:hAnsi="Times New Roman"/>
          <w:sz w:val="21"/>
        </w:rPr>
        <w:tab/>
      </w:r>
      <w:r>
        <w:rPr>
          <w:rFonts w:hint="eastAsia" w:ascii="Times New Roman" w:hAnsi="Times New Roman"/>
          <w:sz w:val="21"/>
        </w:rPr>
        <w:t>Yes (zero-config)</w:t>
      </w:r>
      <w:r>
        <w:rPr>
          <w:rFonts w:hint="eastAsia" w:ascii="Times New Roman" w:hAnsi="Times New Roman"/>
          <w:sz w:val="21"/>
        </w:rPr>
        <w:tab/>
      </w:r>
      <w:r>
        <w:rPr>
          <w:rFonts w:hint="eastAsia" w:ascii="Times New Roman" w:hAnsi="Times New Roman"/>
          <w:sz w:val="21"/>
        </w:rPr>
        <w:t>Yes (optional)</w:t>
      </w:r>
      <w:r>
        <w:rPr>
          <w:rFonts w:hint="eastAsia" w:ascii="Times New Roman" w:hAnsi="Times New Roman"/>
          <w:sz w:val="21"/>
        </w:rPr>
        <w:tab/>
      </w:r>
      <w:r>
        <w:rPr>
          <w:rFonts w:hint="eastAsia" w:ascii="Times New Roman" w:hAnsi="Times New Roman"/>
          <w:sz w:val="21"/>
        </w:rPr>
        <w:t>Yes (configurable)</w:t>
      </w:r>
    </w:p>
    <w:p w14:paraId="3C5319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Network Policies</w:t>
      </w:r>
      <w:r>
        <w:rPr>
          <w:rFonts w:hint="eastAsia" w:ascii="Times New Roman" w:hAnsi="Times New Roman"/>
          <w:sz w:val="21"/>
        </w:rPr>
        <w:tab/>
      </w:r>
      <w:r>
        <w:rPr>
          <w:rFonts w:hint="eastAsia" w:ascii="Times New Roman" w:hAnsi="Times New Roman"/>
          <w:sz w:val="21"/>
        </w:rPr>
        <w:t>Basic</w:t>
      </w:r>
      <w:r>
        <w:rPr>
          <w:rFonts w:hint="eastAsia" w:ascii="Times New Roman" w:hAnsi="Times New Roman"/>
          <w:sz w:val="21"/>
        </w:rPr>
        <w:tab/>
      </w:r>
      <w:r>
        <w:rPr>
          <w:rFonts w:hint="eastAsia" w:ascii="Times New Roman" w:hAnsi="Times New Roman"/>
          <w:sz w:val="21"/>
        </w:rPr>
        <w:t>Advanced (eBPF-based)</w:t>
      </w:r>
      <w:r>
        <w:rPr>
          <w:rFonts w:hint="eastAsia" w:ascii="Times New Roman" w:hAnsi="Times New Roman"/>
          <w:sz w:val="21"/>
        </w:rPr>
        <w:tab/>
      </w:r>
      <w:r>
        <w:rPr>
          <w:rFonts w:hint="eastAsia" w:ascii="Times New Roman" w:hAnsi="Times New Roman"/>
          <w:sz w:val="21"/>
        </w:rPr>
        <w:t>Comprehensive</w:t>
      </w:r>
    </w:p>
    <w:p w14:paraId="76EB2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JWT Validation</w:t>
      </w:r>
      <w:r>
        <w:rPr>
          <w:rFonts w:hint="eastAsia" w:ascii="Times New Roman" w:hAnsi="Times New Roman"/>
          <w:sz w:val="21"/>
        </w:rPr>
        <w:tab/>
      </w:r>
      <w:r>
        <w:rPr>
          <w:rFonts w:hint="eastAsia" w:ascii="Times New Roman" w:hAnsi="Times New Roman"/>
          <w:sz w:val="21"/>
        </w:rPr>
        <w:t>No</w:t>
      </w:r>
      <w:r>
        <w:rPr>
          <w:rFonts w:hint="eastAsia" w:ascii="Times New Roman" w:hAnsi="Times New Roman"/>
          <w:sz w:val="21"/>
        </w:rPr>
        <w:tab/>
      </w:r>
      <w:r>
        <w:rPr>
          <w:rFonts w:hint="eastAsia" w:ascii="Times New Roman" w:hAnsi="Times New Roman"/>
          <w:sz w:val="21"/>
        </w:rPr>
        <w:t>Limited</w:t>
      </w:r>
      <w:r>
        <w:rPr>
          <w:rFonts w:hint="eastAsia" w:ascii="Times New Roman" w:hAnsi="Times New Roman"/>
          <w:sz w:val="21"/>
        </w:rPr>
        <w:tab/>
      </w:r>
      <w:r>
        <w:rPr>
          <w:rFonts w:hint="eastAsia" w:ascii="Times New Roman" w:hAnsi="Times New Roman"/>
          <w:sz w:val="21"/>
        </w:rPr>
        <w:t>Yes</w:t>
      </w:r>
    </w:p>
    <w:p w14:paraId="564EC8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Authorization</w:t>
      </w:r>
      <w:r>
        <w:rPr>
          <w:rFonts w:hint="eastAsia" w:ascii="Times New Roman" w:hAnsi="Times New Roman"/>
          <w:sz w:val="21"/>
        </w:rPr>
        <w:tab/>
      </w:r>
      <w:r>
        <w:rPr>
          <w:rFonts w:hint="eastAsia" w:ascii="Times New Roman" w:hAnsi="Times New Roman"/>
          <w:sz w:val="21"/>
          <w:lang w:val="en-US" w:eastAsia="zh-CN"/>
        </w:rPr>
        <w:t xml:space="preserve"> </w:t>
      </w:r>
      <w:r>
        <w:rPr>
          <w:rFonts w:hint="eastAsia" w:ascii="Times New Roman" w:hAnsi="Times New Roman"/>
          <w:sz w:val="21"/>
        </w:rPr>
        <w:t>Route-based</w:t>
      </w:r>
      <w:r>
        <w:rPr>
          <w:rFonts w:hint="eastAsia" w:ascii="Times New Roman" w:hAnsi="Times New Roman"/>
          <w:sz w:val="21"/>
        </w:rPr>
        <w:tab/>
      </w:r>
      <w:r>
        <w:rPr>
          <w:rFonts w:hint="eastAsia" w:ascii="Times New Roman" w:hAnsi="Times New Roman"/>
          <w:sz w:val="21"/>
        </w:rPr>
        <w:t>Identity-based</w:t>
      </w:r>
      <w:r>
        <w:rPr>
          <w:rFonts w:hint="eastAsia" w:ascii="Times New Roman" w:hAnsi="Times New Roman"/>
          <w:sz w:val="21"/>
        </w:rPr>
        <w:tab/>
      </w:r>
      <w:r>
        <w:rPr>
          <w:rFonts w:hint="eastAsia" w:ascii="Times New Roman" w:hAnsi="Times New Roman"/>
          <w:sz w:val="21"/>
        </w:rPr>
        <w:t>RBAC + ABAC</w:t>
      </w:r>
    </w:p>
    <w:p w14:paraId="177C4D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Audit Logging</w:t>
      </w:r>
      <w:r>
        <w:rPr>
          <w:rFonts w:hint="eastAsia" w:ascii="Times New Roman" w:hAnsi="Times New Roman"/>
          <w:sz w:val="21"/>
        </w:rPr>
        <w:tab/>
      </w:r>
      <w:r>
        <w:rPr>
          <w:rFonts w:hint="eastAsia" w:ascii="Times New Roman" w:hAnsi="Times New Roman"/>
          <w:sz w:val="21"/>
        </w:rPr>
        <w:t>Basic</w:t>
      </w:r>
      <w:r>
        <w:rPr>
          <w:rFonts w:hint="eastAsia" w:ascii="Times New Roman" w:hAnsi="Times New Roman"/>
          <w:sz w:val="21"/>
        </w:rPr>
        <w:tab/>
      </w:r>
      <w:r>
        <w:rPr>
          <w:rFonts w:hint="eastAsia" w:ascii="Times New Roman" w:hAnsi="Times New Roman"/>
          <w:sz w:val="21"/>
        </w:rPr>
        <w:t>Comprehensive</w:t>
      </w:r>
      <w:r>
        <w:rPr>
          <w:rFonts w:hint="eastAsia" w:ascii="Times New Roman" w:hAnsi="Times New Roman"/>
          <w:sz w:val="21"/>
        </w:rPr>
        <w:tab/>
      </w:r>
      <w:r>
        <w:rPr>
          <w:rFonts w:hint="eastAsia" w:ascii="Times New Roman" w:hAnsi="Times New Roman"/>
          <w:sz w:val="21"/>
        </w:rPr>
        <w:t>Comprehensive</w:t>
      </w:r>
    </w:p>
    <w:p w14:paraId="046FBB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 xml:space="preserve">Table </w:t>
      </w:r>
      <w:r>
        <w:rPr>
          <w:rFonts w:hint="eastAsia" w:ascii="Times New Roman" w:hAnsi="Times New Roman"/>
          <w:sz w:val="21"/>
          <w:lang w:val="en-US" w:eastAsia="zh-CN"/>
        </w:rPr>
        <w:t>4</w:t>
      </w:r>
      <w:r>
        <w:rPr>
          <w:rFonts w:hint="eastAsia" w:ascii="Times New Roman" w:hAnsi="Times New Roman"/>
          <w:sz w:val="21"/>
        </w:rPr>
        <w:t>: Security Feature Comparison</w:t>
      </w:r>
    </w:p>
    <w:p w14:paraId="03040E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Istio provides the most comprehensive security feature set, particularly for sophisticated authentication and authorization scenarios. Cilium offers unique capabilities through eBPF-based network policies that operate at the kernel level. Linkerd focuses on providing robust security through automated mTLS with minimal configuration complexity.</w:t>
      </w:r>
    </w:p>
    <w:p w14:paraId="42DB75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54664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6 Limitations and Challenges</w:t>
      </w:r>
    </w:p>
    <w:p w14:paraId="19C0FC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6.1 Performance and Complexity Trade-offs</w:t>
      </w:r>
    </w:p>
    <w:p w14:paraId="441AE2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fundamental challenge in service mesh adoption remains balancing enhanced functionality against performance overhead and operational complexity. Our evaluation demonstrates that:</w:t>
      </w:r>
    </w:p>
    <w:p w14:paraId="172570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Feature-Rich Implementations like Istio provide comprehensive capabilities but impose significant latency and resource overhead, particularly in default configurations.</w:t>
      </w:r>
    </w:p>
    <w:p w14:paraId="0BE5D5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Minimalist Implementations like Linkerd offer excellent performance characteristics but may lack advanced features required for complex deployment scenarios.</w:t>
      </w:r>
    </w:p>
    <w:p w14:paraId="30CCF3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Emerging Architectures like Cilium attempt to bridge this gap through kernel-level implementation but introduce new dependencies and debugging challenges.</w:t>
      </w:r>
    </w:p>
    <w:p w14:paraId="5CB924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Organizations must carefully evaluate their specific requirements against these trade-offs. We recommend a phased adoption approach, beginning with basic service mesh functionality and gradually enabling more advanced features as operational expertise develops.</w:t>
      </w:r>
    </w:p>
    <w:p w14:paraId="545DE8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2F9B9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6.2 Day 2 Operations Challenges</w:t>
      </w:r>
    </w:p>
    <w:p w14:paraId="7A4D00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Beyond initial deployment, service meshes introduce ongoing operational challenges:</w:t>
      </w:r>
    </w:p>
    <w:p w14:paraId="4C86F5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Configuration Management: As mesh configurations grow more complex, managing and versioning these configurations becomes increasingly challenging. GitOps approaches help but require additional tooling and processes.</w:t>
      </w:r>
    </w:p>
    <w:p w14:paraId="26F2E7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Troubleshooting Complexity: Distributed tracing provides visibility but interpreting traces across hundreds of microservices requires specialized skills and tooling.</w:t>
      </w:r>
    </w:p>
    <w:p w14:paraId="6AC304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Upgrade Procedures: Service mesh upgrades often require careful coordination, particularly when breaking changes are introduced between versions.</w:t>
      </w:r>
    </w:p>
    <w:p w14:paraId="2626D8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Multi-Cluster Management: Extending service meshes across multiple clusters introduces additional complexity for configuration synchronization and security policy consistency.</w:t>
      </w:r>
    </w:p>
    <w:p w14:paraId="15E27D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Addressing these challenges requires investment in platform engineering capabilities and operational processes. Organizations should budget for ongoing operational overhead when planning service mesh adoption.</w:t>
      </w:r>
    </w:p>
    <w:p w14:paraId="28A905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4D0114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6.3 Security Considerations</w:t>
      </w:r>
    </w:p>
    <w:p w14:paraId="7EA5D9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While service meshes enhance security through features like automatic mTLS, they also introduce new attack surfaces:</w:t>
      </w:r>
    </w:p>
    <w:p w14:paraId="61D2BB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Control Plane Security: Compromise of the service mesh control plane could allow attackers to redirect or inspect all application traffic.</w:t>
      </w:r>
    </w:p>
    <w:p w14:paraId="55555D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Certificate Management: Automated certificate rotation simplifies operations but requires careful management of root certificate authority security.</w:t>
      </w:r>
    </w:p>
    <w:p w14:paraId="50ECEB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Policy Configuration Errors: Complex security policy configurations increase the risk of misconfiguration that could inadvertently expose services.</w:t>
      </w:r>
    </w:p>
    <w:p w14:paraId="3D2989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Data Plane Vulnerabilities: Proxy implementations may contain vulnerabilities that could be exploited to intercept or modify traffic.</w:t>
      </w:r>
    </w:p>
    <w:p w14:paraId="4A4363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Defense-in-depth strategies should complement service mesh security features, including network segmentation, runtime security monitoring, and regular security assessments of the service mesh implementation itself.</w:t>
      </w:r>
    </w:p>
    <w:p w14:paraId="276AC0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6A740A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6.4 Cost Implications</w:t>
      </w:r>
    </w:p>
    <w:p w14:paraId="2FFE6F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 implementations incur both direct and indirect costs:</w:t>
      </w:r>
    </w:p>
    <w:p w14:paraId="3FE49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Direct Infrastructure Costs: Additional compute and memory resources for proxy containers and control plane components.</w:t>
      </w:r>
    </w:p>
    <w:p w14:paraId="1B367D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Indirect Operational Costs: Increased engineering time for configuration, troubleshooting, and ongoing management.</w:t>
      </w:r>
    </w:p>
    <w:p w14:paraId="15CC63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Training Costs: Developing internal expertise on service mesh technology and best practices.</w:t>
      </w:r>
    </w:p>
    <w:p w14:paraId="31661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Tooling Costs: Additional monitoring, security, and management tools optimized for service mesh environments.</w:t>
      </w:r>
    </w:p>
    <w:p w14:paraId="4497B2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For smaller organizations or less complex deployments, these costs may outweigh the benefits. We recommend conducting a thorough cost-benefit analysis before committing to service mesh adoption, considering both immediate and long-term implications.</w:t>
      </w:r>
    </w:p>
    <w:p w14:paraId="6AA7F9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623BB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7 Conclusion and Future Directions</w:t>
      </w:r>
    </w:p>
    <w:p w14:paraId="734F1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7.1 Key Findings</w:t>
      </w:r>
    </w:p>
    <w:p w14:paraId="721C38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investigation into service mesh evolution within cloud native computing reveals several significant findings:</w:t>
      </w:r>
    </w:p>
    <w:p w14:paraId="4299D8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Architectural Convergence: Service meshes are evolving from specialized communication layers toward comprehensive application networking platforms, absorbing functionality from API gateways, security frameworks, and observability tools.</w:t>
      </w:r>
    </w:p>
    <w:p w14:paraId="7050FA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Implementation Specialization: Different service mesh implementations have adopted distinct design philosophies, creating a spectrum of options from minimalist (Linkerd) to comprehensive (Istio) to performance-optimized (Cilium).</w:t>
      </w:r>
    </w:p>
    <w:p w14:paraId="1DE813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Extensibility Revolution: WebAssembly-based extension mechanisms are transforming service meshes into programmable platforms, enabling custom logic without modifying core implementations.</w:t>
      </w:r>
    </w:p>
    <w:p w14:paraId="0EB02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AI/ML Adaptation: Service meshes are developing specialized capabilities for AI workloads, including GPU-aware routing, large payload handling, and sophisticated model deployment strategies.</w:t>
      </w:r>
    </w:p>
    <w:p w14:paraId="33B0B5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Performance Variability: Different implementations impose substantially different performance overheads, with resource-efficient designs (Linkerd, Cilium) demonstrating minimal impact compared to feature-rich alternatives (Istio).</w:t>
      </w:r>
    </w:p>
    <w:p w14:paraId="067DB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14815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7.2 Practical Recommendations</w:t>
      </w:r>
    </w:p>
    <w:p w14:paraId="359392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Based on our analysis, we offer the following recommendations for organizations considering service mesh adoption:</w:t>
      </w:r>
    </w:p>
    <w:p w14:paraId="796E3F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Start with Clear Requirements: Identify specific problems the service mesh will solve rather than adopting it as a checkbox technology.</w:t>
      </w:r>
    </w:p>
    <w:p w14:paraId="2EA6A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Begin with Minimal Configuration: Enable only essential features initially, gradually adding capabilities as operational expertise develops.</w:t>
      </w:r>
    </w:p>
    <w:p w14:paraId="364E5D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Establish Operational Processes Early: Implement configuration management, monitoring, and troubleshooting processes before widespread adoption.</w:t>
      </w:r>
    </w:p>
    <w:p w14:paraId="774682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Consider Implementation Alternatives: Evaluate emerging architectures like eBPF-based meshes or proxyless approaches for performance-critical applications.</w:t>
      </w:r>
    </w:p>
    <w:p w14:paraId="70C483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Plan for Skills Development: Budget for training and knowledge sharing to develop internal service mesh expertise.</w:t>
      </w:r>
    </w:p>
    <w:p w14:paraId="2ACBE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Adopt Phased Migration Strategy: Migrate applications gradually, beginning with less critical services to build confidence and refine processes.</w:t>
      </w:r>
    </w:p>
    <w:p w14:paraId="79417E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56287D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7.3 Future Research Directions</w:t>
      </w:r>
    </w:p>
    <w:p w14:paraId="0021F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Our investigation identifies several promising directions for future research:</w:t>
      </w:r>
    </w:p>
    <w:p w14:paraId="4A76DE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Intelligent Traffic Management: Machine learning techniques for dynamic traffic routing based on real-time performance metrics and business objectives.</w:t>
      </w:r>
    </w:p>
    <w:p w14:paraId="27BD7B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Simplified Configuration: AI-assisted configuration generation and validation to reduce operational complexity.</w:t>
      </w:r>
    </w:p>
    <w:p w14:paraId="131F9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Performance Optimization: Further investigation of eBPF-based data planes and userspace packet processing for latency-sensitive applications.</w:t>
      </w:r>
    </w:p>
    <w:p w14:paraId="5F4545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Security Automation: Automated policy generation and anomaly detection for service mesh security configurations.</w:t>
      </w:r>
    </w:p>
    <w:p w14:paraId="173D6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Standardization Efforts: Development of cross-implementation standards for configuration, metrics, and extension APIs to reduce vendor lock-in.</w:t>
      </w:r>
    </w:p>
    <w:p w14:paraId="16B914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Edge Computing Integration: Adaptation of service mesh patterns for resource-constrained edge computing environments.</w:t>
      </w:r>
    </w:p>
    <w:p w14:paraId="5A48D9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661C53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7.4 Concluding Remarks</w:t>
      </w:r>
    </w:p>
    <w:p w14:paraId="3EDCA7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 technology represents a critical component of modern cloud native architecture, providing essential capabilities for managing complex microservices deployments. As implementations evolve from simple communication abstractions to comprehensive application networking platforms, they offer increasing value but also introduce growing complexity.</w:t>
      </w:r>
    </w:p>
    <w:p w14:paraId="4A266D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future of service mesh technology will likely involve continued convergence with adjacent domains, increased intelligence through machine learning integration, and ongoing efforts to reduce operational overhead. Organizations that approach service mesh adoption with clear objectives, realistic expectations, and appropriate investment in operational capabilities will be best positioned to leverage this transformative technology effectively.</w:t>
      </w:r>
    </w:p>
    <w:p w14:paraId="017D90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By understanding both the current state and evolutionary trajectory of service mesh implementations, architects and operators can make informed decisions that balance functionality, performance, and operational sustainability in their cloud native journeys.</w:t>
      </w:r>
    </w:p>
    <w:p w14:paraId="667651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0E723F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References</w:t>
      </w:r>
    </w:p>
    <w:p w14:paraId="0E89F0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[1] Cloud Native Computing Foundation. (2023). CNCF Cloud Native Interactive Landscape. https://landscape.cncf.io</w:t>
      </w:r>
    </w:p>
    <w:p w14:paraId="5583F9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[2] Burns, B., Grant, B., Oppenheimer, D., Brewer, E., &amp; Wilkes, J. (2016). Borg, Omega, and Kubernetes. ACM Queue, 14(1), 70-93.</w:t>
      </w:r>
    </w:p>
    <w:p w14:paraId="65C6DC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[3] Newman, S. (2021). Building Microservices: Designing Fine-Grained Systems (2nd ed.). O'Reilly Media.</w:t>
      </w:r>
    </w:p>
    <w:p w14:paraId="5EE47C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[4] Hightower, K., Burns, B., &amp; Beda, J. (2017). Kubernetes: Up and Running. O'Reilly Media.</w:t>
      </w:r>
    </w:p>
    <w:p w14:paraId="7EE3C0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[5] O'Dwyer, O., &amp; Kratzke, N. (2018). A Brief History of Cloud Native Applications and Platforms. Proceedings of the 11th International Conference on Utility and Cloud Computing.</w:t>
      </w:r>
    </w:p>
    <w:p w14:paraId="40D9FA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[6] Istio Authors. (2022). Istio: Up and Running. O'Reilly Media.</w:t>
      </w:r>
    </w:p>
    <w:p w14:paraId="61B5F4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[7] Li, W., Lemieux, Y., Gao, J., Zhao, Z., &amp; Han, Y. (2019). Service Mesh: Challenges, State of the Art, and Future Research Opportunities. IEEE International Conference on Service-Oriented System Engineering.</w:t>
      </w:r>
    </w:p>
    <w:p w14:paraId="2B9E6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p>
    <w:p w14:paraId="33B51E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Acknowledgements</w:t>
      </w:r>
    </w:p>
    <w:p w14:paraId="787F44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The author thanks the Cloud Native Computing Foundation for maintaining the comprehensive landscape of cloud native technologies that informed this research. Special appreciation is extended to the open source communities developing and maintaining service mesh implementations, whose transparency and collaboration enable rigorous analysis of these complex systems.</w:t>
      </w:r>
    </w:p>
    <w:p w14:paraId="0B0447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This research received no specific grant from funding agencies in the public, commercial, or not-for-profit sectors. All testing and analysis was conducted using publicly available software and documentation.</w:t>
      </w:r>
    </w:p>
    <w:p w14:paraId="02E6A0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Appendix: Experimental Data</w:t>
      </w:r>
    </w:p>
    <w:p w14:paraId="3FCE88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Complete performance test results and configuration details are available at: https://github.com/example-user/service-mesh-benchmarks</w:t>
      </w:r>
    </w:p>
    <w:p w14:paraId="7220D8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Repository includes:</w:t>
      </w:r>
    </w:p>
    <w:p w14:paraId="4CFC64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Load testing scripts and configurations</w:t>
      </w:r>
    </w:p>
    <w:p w14:paraId="3CA489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Raw performance metrics data</w:t>
      </w:r>
    </w:p>
    <w:p w14:paraId="65AACC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Service mesh configuration files</w:t>
      </w:r>
    </w:p>
    <w:p w14:paraId="2678B3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Analysis scripts for reproducing results</w:t>
      </w:r>
    </w:p>
    <w:p w14:paraId="25400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1"/>
        </w:rPr>
      </w:pPr>
      <w:r>
        <w:rPr>
          <w:rFonts w:hint="eastAsia" w:ascii="Times New Roman" w:hAnsi="Times New Roman"/>
          <w:sz w:val="21"/>
        </w:rPr>
        <w:t>Report compiled on December 26, 2025. All information reflects the state of service mesh technology as of this date.</w:t>
      </w:r>
    </w:p>
    <w:p w14:paraId="4EF6B9A8">
      <w:pPr>
        <w:rPr>
          <w:rFonts w:hint="eastAsia"/>
        </w:rPr>
      </w:pPr>
    </w:p>
    <w:p w14:paraId="4CB731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dsw-font-markdown-h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h2)">
    <w:altName w:val="Segoe Print"/>
    <w:panose1 w:val="00000000000000000000"/>
    <w:charset w:val="00"/>
    <w:family w:val="auto"/>
    <w:pitch w:val="default"/>
    <w:sig w:usb0="00000000" w:usb1="00000000" w:usb2="00000000" w:usb3="00000000" w:csb0="00000000" w:csb1="00000000"/>
  </w:font>
  <w:font w:name="var(--dsw-font-markdown-base)">
    <w:altName w:val="Segoe Print"/>
    <w:panose1 w:val="00000000000000000000"/>
    <w:charset w:val="00"/>
    <w:family w:val="auto"/>
    <w:pitch w:val="default"/>
    <w:sig w:usb0="00000000" w:usb1="00000000" w:usb2="00000000" w:usb3="00000000" w:csb0="00000000" w:csb1="00000000"/>
  </w:font>
  <w:font w:name="var(--dsw-font-markdown-h3)">
    <w:altName w:val="Segoe Print"/>
    <w:panose1 w:val="00000000000000000000"/>
    <w:charset w:val="00"/>
    <w:family w:val="auto"/>
    <w:pitch w:val="default"/>
    <w:sig w:usb0="00000000" w:usb1="00000000" w:usb2="00000000" w:usb3="00000000" w:csb0="00000000" w:csb1="00000000"/>
  </w:font>
  <w:font w:name="var(--dsw-font-markdown-table-head)">
    <w:altName w:val="Segoe Print"/>
    <w:panose1 w:val="00000000000000000000"/>
    <w:charset w:val="00"/>
    <w:family w:val="auto"/>
    <w:pitch w:val="default"/>
    <w:sig w:usb0="00000000" w:usb1="00000000" w:usb2="00000000" w:usb3="00000000" w:csb0="00000000" w:csb1="00000000"/>
  </w:font>
  <w:font w:name="var(--dsw-font-markdown-table)">
    <w:altName w:val="Segoe Print"/>
    <w:panose1 w:val="00000000000000000000"/>
    <w:charset w:val="00"/>
    <w:family w:val="auto"/>
    <w:pitch w:val="default"/>
    <w:sig w:usb0="00000000" w:usb1="00000000" w:usb2="00000000" w:usb3="00000000" w:csb0="00000000" w:csb1="00000000"/>
  </w:font>
  <w:font w:name="var(--dsw-font-markdown-h4)">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A32324"/>
    <w:rsid w:val="1F3D58D3"/>
    <w:rsid w:val="46D73FFC"/>
    <w:rsid w:val="66644AC0"/>
    <w:rsid w:val="6F176B74"/>
    <w:rsid w:val="709F5073"/>
    <w:rsid w:val="73C84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2025-12-26T14:37:52Z</dcterms:created>
  <dc:creator>Administrator.WIN-RA0CAN232RR</dc:creator>
  <cp:lastModifiedBy>您的老父亲</cp:lastModifiedBy>
  <dcterms:modified xsi:type="dcterms:W3CDTF">2025-12-26T15:08:00Z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eyJoZGlkIjoiNTdjMGEwMmJjMzBmODcwNDU3ZTVmMGY3OTI1OTVlZmYiLCJ1c2VySWQiOiIxMzg0MDcxNzUzIn0=</vt:lpwstr>
  </property>
  <property fmtid="{D5CDD505-2E9C-101B-9397-08002B2CF9AE}" pid="4" name="ICV">
    <vt:lpwstr>52582C582A1E4507969E6A1C3DE11C9F_12</vt:lpwstr>
  </property>
</Properties>
</file>