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10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1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pStyle w:val="Heading2"/>
      </w:pPr>
      <w:bookmarkStart w:id="87" w:name="evaluación"/>
      <w:bookmarkEnd w:id="87"/>
      <w:r>
        <w:t xml:space="preserve">Evaluación</w:t>
      </w:r>
    </w:p>
    <w:p>
      <w:pPr>
        <w:pStyle w:val="Compact"/>
        <w:numPr>
          <w:numId w:val="1033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4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4"/>
          <w:ilvl w:val="1"/>
        </w:numPr>
      </w:pPr>
      <w:r>
        <w:t xml:space="preserve">eficiencia</w:t>
      </w:r>
    </w:p>
    <w:p>
      <w:pPr>
        <w:pStyle w:val="Compact"/>
        <w:numPr>
          <w:numId w:val="1034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4"/>
          <w:ilvl w:val="1"/>
        </w:numPr>
      </w:pPr>
      <w:r>
        <w:t xml:space="preserve">eficacia</w:t>
      </w:r>
    </w:p>
    <w:p>
      <w:pPr>
        <w:pStyle w:val="Compact"/>
        <w:numPr>
          <w:numId w:val="1034"/>
          <w:ilvl w:val="1"/>
        </w:numPr>
      </w:pPr>
      <w:r>
        <w:t xml:space="preserve">satisfacción</w:t>
      </w:r>
    </w:p>
    <w:p>
      <w:pPr>
        <w:pStyle w:val="Heading3"/>
      </w:pPr>
      <w:bookmarkStart w:id="88" w:name="aprendizaje"/>
      <w:bookmarkEnd w:id="88"/>
      <w:r>
        <w:t xml:space="preserve">Aprendizaje</w:t>
      </w:r>
    </w:p>
    <w:p>
      <w:pPr>
        <w:pStyle w:val="Compact"/>
        <w:numPr>
          <w:numId w:val="1035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6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89" w:name="efectividad"/>
      <w:bookmarkEnd w:id="89"/>
      <w:r>
        <w:t xml:space="preserve">Efectividad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90" w:name="reconocimiento"/>
      <w:bookmarkEnd w:id="90"/>
      <w:r>
        <w:t xml:space="preserve">Reconocimiento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91" w:name="eficiencia"/>
      <w:bookmarkEnd w:id="91"/>
      <w:r>
        <w:t xml:space="preserve">Eficiencia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2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2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2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2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2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2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2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92" w:name="satisfacción"/>
      <w:bookmarkEnd w:id="92"/>
      <w:r>
        <w:t xml:space="preserve">Satisfacción</w:t>
      </w:r>
    </w:p>
    <w:p>
      <w:pPr>
        <w:pStyle w:val="Compact"/>
        <w:numPr>
          <w:numId w:val="1043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4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4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4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4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93" w:name="implementación-y-lanzamiento"/>
      <w:bookmarkEnd w:id="93"/>
      <w:r>
        <w:t xml:space="preserve">Implementación y lanzamiento</w:t>
      </w:r>
    </w:p>
    <w:p>
      <w:pPr>
        <w:pStyle w:val="Compact"/>
        <w:numPr>
          <w:numId w:val="1045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94" w:name="mantenimiento-y-seguimiento"/>
      <w:bookmarkEnd w:id="94"/>
      <w:r>
        <w:t xml:space="preserve">Mantenimiento y seguimiento</w:t>
      </w:r>
    </w:p>
    <w:p>
      <w:pPr>
        <w:numPr>
          <w:numId w:val="1046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6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95" w:name="principios-usabilidad"/>
      <w:bookmarkEnd w:id="95"/>
      <w:r>
        <w:t xml:space="preserve">Principios usabilidad</w:t>
      </w:r>
    </w:p>
    <w:p>
      <w:pPr>
        <w:pStyle w:val="Heading2"/>
      </w:pPr>
      <w:bookmarkStart w:id="96" w:name="jakob-nielsen"/>
      <w:bookmarkEnd w:id="96"/>
      <w:r>
        <w:t xml:space="preserve">Jakob Nielsen</w:t>
      </w:r>
    </w:p>
    <w:p>
      <w:pPr>
        <w:pStyle w:val="Compact"/>
        <w:numPr>
          <w:numId w:val="1047"/>
          <w:ilvl w:val="0"/>
        </w:numPr>
      </w:pPr>
      <w:hyperlink r:id="rId97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98" w:name="visibilidad-estado"/>
      <w:bookmarkEnd w:id="98"/>
      <w:r>
        <w:t xml:space="preserve">Visibilidad estado</w:t>
      </w:r>
    </w:p>
    <w:p>
      <w:pPr>
        <w:pStyle w:val="Compact"/>
        <w:numPr>
          <w:numId w:val="1048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99" w:name="adecuación-al-mundo-real"/>
      <w:bookmarkEnd w:id="99"/>
      <w:r>
        <w:t xml:space="preserve">Adecuación al mundo real</w:t>
      </w:r>
    </w:p>
    <w:p>
      <w:pPr>
        <w:pStyle w:val="Compact"/>
        <w:numPr>
          <w:numId w:val="1049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00" w:name="libertad-y-control"/>
      <w:bookmarkEnd w:id="100"/>
      <w:r>
        <w:t xml:space="preserve">Libertad y control</w:t>
      </w:r>
    </w:p>
    <w:p>
      <w:pPr>
        <w:numPr>
          <w:numId w:val="1050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0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01" w:name="consistencia-y-estándares"/>
      <w:bookmarkEnd w:id="101"/>
      <w:r>
        <w:t xml:space="preserve">Consistencia y estándares</w:t>
      </w:r>
    </w:p>
    <w:p>
      <w:pPr>
        <w:numPr>
          <w:numId w:val="1051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1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2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2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2"/>
          <w:ilvl w:val="1"/>
        </w:numPr>
      </w:pPr>
      <w:r>
        <w:t xml:space="preserve">menú en la parte superior</w:t>
      </w:r>
    </w:p>
    <w:p>
      <w:pPr>
        <w:pStyle w:val="Compact"/>
        <w:numPr>
          <w:numId w:val="1052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2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02" w:name="prevención-de-errores"/>
      <w:bookmarkEnd w:id="102"/>
      <w:r>
        <w:t xml:space="preserve">Prevención de errores</w:t>
      </w:r>
    </w:p>
    <w:p>
      <w:pPr>
        <w:pStyle w:val="Compact"/>
        <w:numPr>
          <w:numId w:val="1053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03" w:name="reconocimiento-antes-que-recuerdo"/>
      <w:bookmarkEnd w:id="103"/>
      <w:r>
        <w:t xml:space="preserve">Reconocimiento antes que recuerdo</w:t>
      </w:r>
    </w:p>
    <w:p>
      <w:pPr>
        <w:numPr>
          <w:numId w:val="1054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4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04" w:name="flexibilidad-y-eficiencia"/>
      <w:bookmarkEnd w:id="104"/>
      <w:r>
        <w:t xml:space="preserve">Flexibilidad y eficiencia</w:t>
      </w:r>
    </w:p>
    <w:p>
      <w:pPr>
        <w:numPr>
          <w:numId w:val="1055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5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05" w:name="diseño-estético-y-minimalista"/>
      <w:bookmarkEnd w:id="105"/>
      <w:r>
        <w:t xml:space="preserve">Diseño estético y minimalista</w:t>
      </w:r>
    </w:p>
    <w:p>
      <w:pPr>
        <w:numPr>
          <w:numId w:val="1056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6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06" w:name="manejo-de-errores"/>
      <w:bookmarkEnd w:id="106"/>
      <w:r>
        <w:t xml:space="preserve">Manejo de errores</w:t>
      </w:r>
    </w:p>
    <w:p>
      <w:pPr>
        <w:numPr>
          <w:numId w:val="1057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7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7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07" w:name="ayuda-y-documentación"/>
      <w:bookmarkEnd w:id="107"/>
      <w:r>
        <w:t xml:space="preserve">Ayuda y documentación</w:t>
      </w:r>
    </w:p>
    <w:p>
      <w:pPr>
        <w:pStyle w:val="Compact"/>
        <w:numPr>
          <w:numId w:val="1058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08" w:name="técnicas-de-evaluación"/>
      <w:bookmarkEnd w:id="108"/>
      <w:r>
        <w:t xml:space="preserve">Técnicas de evaluación</w:t>
      </w:r>
    </w:p>
    <w:p>
      <w:pPr>
        <w:pStyle w:val="Heading2"/>
      </w:pPr>
      <w:bookmarkStart w:id="109" w:name="card-sorting"/>
      <w:bookmarkEnd w:id="109"/>
      <w:r>
        <w:t xml:space="preserve">Card-sorting</w:t>
      </w:r>
    </w:p>
    <w:p>
      <w:pPr>
        <w:numPr>
          <w:numId w:val="1059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59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evaluación-heurística"/>
      <w:bookmarkEnd w:id="111"/>
      <w:r>
        <w:t xml:space="preserve">Evaluación heurística</w:t>
      </w:r>
    </w:p>
    <w:p>
      <w:pPr>
        <w:numPr>
          <w:numId w:val="1060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0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0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12" w:name="test-de-usuarios"/>
      <w:bookmarkEnd w:id="112"/>
      <w:r>
        <w:t xml:space="preserve">Test de usuarios</w:t>
      </w:r>
    </w:p>
    <w:p>
      <w:pPr>
        <w:numPr>
          <w:numId w:val="1061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1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1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13" w:name="eye-tracking"/>
      <w:bookmarkEnd w:id="113"/>
      <w:r>
        <w:t xml:space="preserve">Eye-tracking</w:t>
      </w:r>
    </w:p>
    <w:p>
      <w:pPr>
        <w:numPr>
          <w:numId w:val="1062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14" w:name="feedback"/>
      <w:bookmarkEnd w:id="114"/>
      <w:r>
        <w:t xml:space="preserve">Feedback</w:t>
      </w:r>
    </w:p>
    <w:p>
      <w:pPr>
        <w:numPr>
          <w:numId w:val="1063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3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15" w:name="analítica-web"/>
      <w:bookmarkEnd w:id="115"/>
      <w:r>
        <w:t xml:space="preserve">Analítica Web</w:t>
      </w:r>
    </w:p>
    <w:p>
      <w:pPr>
        <w:numPr>
          <w:numId w:val="1064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4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4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16" w:name="test-ab"/>
      <w:bookmarkEnd w:id="116"/>
      <w:r>
        <w:t xml:space="preserve">Test A/B</w:t>
      </w:r>
    </w:p>
    <w:p>
      <w:pPr>
        <w:pStyle w:val="Compact"/>
        <w:numPr>
          <w:numId w:val="1065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acerca-de"/>
      <w:bookmarkEnd w:id="118"/>
      <w:r>
        <w:t xml:space="preserve">Acerca de</w:t>
      </w:r>
    </w:p>
    <w:p>
      <w:pPr>
        <w:pStyle w:val="Heading2"/>
      </w:pPr>
      <w:bookmarkStart w:id="119" w:name="licencia"/>
      <w:bookmarkEnd w:id="119"/>
      <w:r>
        <w:t xml:space="preserve">Licencia</w:t>
      </w:r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68"/>
          <w:ilvl w:val="1"/>
        </w:numPr>
      </w:pPr>
      <w:hyperlink r:id="rId120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21" w:name="fuentes"/>
      <w:bookmarkEnd w:id="121"/>
      <w:r>
        <w:t xml:space="preserve">Fuentes</w:t>
      </w:r>
    </w:p>
    <w:p>
      <w:pPr>
        <w:pStyle w:val="Compact"/>
        <w:numPr>
          <w:numId w:val="1069"/>
          <w:ilvl w:val="0"/>
        </w:numPr>
      </w:pPr>
      <w:r>
        <w:t xml:space="preserve">Transparencias:</w:t>
      </w:r>
    </w:p>
    <w:p>
      <w:pPr>
        <w:pStyle w:val="Compact"/>
        <w:numPr>
          <w:numId w:val="1070"/>
          <w:ilvl w:val="1"/>
        </w:numPr>
      </w:pPr>
      <w:hyperlink r:id="rId122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69"/>
          <w:ilvl w:val="0"/>
        </w:numPr>
      </w:pPr>
      <w:r>
        <w:t xml:space="preserve">Código:</w:t>
      </w:r>
    </w:p>
    <w:p>
      <w:pPr>
        <w:pStyle w:val="Compact"/>
        <w:numPr>
          <w:numId w:val="1071"/>
          <w:ilvl w:val="1"/>
        </w:numPr>
      </w:pPr>
      <w:hyperlink r:id="rId123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24" w:name="bibliografía"/>
      <w:bookmarkEnd w:id="124"/>
      <w:r>
        <w:t xml:space="preserve">Bibliografía</w:t>
      </w:r>
    </w:p>
    <w:p>
      <w:pPr>
        <w:pStyle w:val="Compact"/>
        <w:numPr>
          <w:numId w:val="1072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3"/>
          <w:ilvl w:val="1"/>
        </w:numPr>
      </w:pPr>
      <w:hyperlink r:id="rId125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2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4"/>
          <w:ilvl w:val="1"/>
        </w:numPr>
      </w:pPr>
      <w:hyperlink r:id="rId126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2"/>
          <w:ilvl w:val="0"/>
        </w:numPr>
      </w:pPr>
      <w:r>
        <w:t xml:space="preserve">Unas notas sobre Usabilidad</w:t>
      </w:r>
    </w:p>
    <w:p>
      <w:pPr>
        <w:pStyle w:val="Compact"/>
        <w:numPr>
          <w:numId w:val="1075"/>
          <w:ilvl w:val="1"/>
        </w:numPr>
      </w:pPr>
      <w:hyperlink r:id="rId127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2"/>
          <w:ilvl w:val="0"/>
        </w:numPr>
      </w:pPr>
      <w:r>
        <w:t xml:space="preserve">Pruebas de Usabilidad</w:t>
      </w:r>
    </w:p>
    <w:p>
      <w:pPr>
        <w:pStyle w:val="Compact"/>
        <w:numPr>
          <w:numId w:val="1076"/>
          <w:ilvl w:val="1"/>
        </w:numPr>
      </w:pPr>
      <w:hyperlink r:id="rId128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2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7"/>
          <w:ilvl w:val="1"/>
        </w:numPr>
      </w:pPr>
      <w:hyperlink r:id="rId129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2"/>
          <w:ilvl w:val="0"/>
        </w:numPr>
      </w:pPr>
      <w:r>
        <w:t xml:space="preserve">Prototipado</w:t>
      </w:r>
    </w:p>
    <w:p>
      <w:pPr>
        <w:pStyle w:val="Compact"/>
        <w:numPr>
          <w:numId w:val="1078"/>
          <w:ilvl w:val="1"/>
        </w:numPr>
      </w:pPr>
      <w:hyperlink r:id="rId130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2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79"/>
          <w:ilvl w:val="1"/>
        </w:numPr>
      </w:pPr>
      <w:hyperlink r:id="rId131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2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0"/>
          <w:ilvl w:val="1"/>
        </w:numPr>
      </w:pPr>
      <w:hyperlink r:id="rId132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e373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063f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10" Target="media/rId110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17" Target="media/rId117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