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9" w:name="características"/>
      <w:bookmarkEnd w:id="39"/>
      <w:r>
        <w:t xml:space="preserve">Características</w:t>
      </w:r>
    </w:p>
    <w:p>
      <w:pPr>
        <w:numPr>
          <w:numId w:val="1008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8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40" w:name="usando-less"/>
      <w:bookmarkEnd w:id="40"/>
      <w:r>
        <w:t xml:space="preserve">Usando Less</w:t>
      </w:r>
    </w:p>
    <w:p>
      <w:pPr>
        <w:pStyle w:val="Heading2"/>
      </w:pPr>
      <w:bookmarkStart w:id="41" w:name="instalación"/>
      <w:bookmarkEnd w:id="41"/>
      <w:r>
        <w:t xml:space="preserve">Instalación</w:t>
      </w:r>
    </w:p>
    <w:p>
      <w:pPr>
        <w:pStyle w:val="Compact"/>
        <w:numPr>
          <w:numId w:val="1009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2" w:name="línea-de-comandos"/>
      <w:bookmarkEnd w:id="42"/>
      <w:r>
        <w:t xml:space="preserve">Línea de comandos</w:t>
      </w:r>
    </w:p>
    <w:p>
      <w:pPr>
        <w:pStyle w:val="Compact"/>
        <w:numPr>
          <w:numId w:val="1010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3" w:name="desde-el-navegador"/>
      <w:bookmarkEnd w:id="43"/>
      <w:r>
        <w:t xml:space="preserve">Desde el navegador</w:t>
      </w:r>
    </w:p>
    <w:p>
      <w:pPr>
        <w:numPr>
          <w:numId w:val="1011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Descargar:</w:t>
      </w:r>
      <w:r>
        <w:t xml:space="preserve"> </w:t>
      </w:r>
      <w:hyperlink r:id="rId44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1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5" w:name="características-1"/>
      <w:bookmarkEnd w:id="45"/>
      <w:r>
        <w:t xml:space="preserve">Características</w:t>
      </w:r>
    </w:p>
    <w:p>
      <w:pPr>
        <w:pStyle w:val="Heading2"/>
      </w:pPr>
      <w:bookmarkStart w:id="46" w:name="variables"/>
      <w:bookmarkEnd w:id="46"/>
      <w:r>
        <w:t xml:space="preserve">Variables</w:t>
      </w:r>
    </w:p>
    <w:p>
      <w:pPr>
        <w:pStyle w:val="Compact"/>
        <w:numPr>
          <w:numId w:val="101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7" w:name="extend"/>
      <w:bookmarkEnd w:id="47"/>
      <w:r>
        <w:t xml:space="preserve">Extend</w:t>
      </w:r>
    </w:p>
    <w:p>
      <w:pPr>
        <w:pStyle w:val="Compact"/>
        <w:numPr>
          <w:numId w:val="1015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mixins"/>
      <w:bookmarkEnd w:id="48"/>
      <w:r>
        <w:t xml:space="preserve">Mixins</w:t>
      </w:r>
    </w:p>
    <w:p>
      <w:pPr>
        <w:numPr>
          <w:numId w:val="1016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6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9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50" w:name="medias-queries-anidadas"/>
      <w:bookmarkEnd w:id="50"/>
      <w:r>
        <w:t xml:space="preserve">Medias Queries anidadas</w:t>
      </w:r>
    </w:p>
    <w:p>
      <w:pPr>
        <w:pStyle w:val="Compact"/>
        <w:numPr>
          <w:numId w:val="1022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operaciones"/>
      <w:bookmarkEnd w:id="51"/>
      <w:r>
        <w:t xml:space="preserve">Operaciones</w:t>
      </w:r>
    </w:p>
    <w:p>
      <w:pPr>
        <w:numPr>
          <w:numId w:val="1024"/>
          <w:ilvl w:val="0"/>
        </w:numPr>
      </w:pPr>
      <w:r>
        <w:t xml:space="preserve">Less puede hacer operaciones con números, colores o variables.</w:t>
      </w:r>
    </w:p>
    <w:p>
      <w:pPr>
        <w:numPr>
          <w:numId w:val="1024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2" w:name="funciones"/>
      <w:bookmarkEnd w:id="52"/>
      <w:r>
        <w:t xml:space="preserve">Funciones</w:t>
      </w:r>
    </w:p>
    <w:p>
      <w:pPr>
        <w:pStyle w:val="Compact"/>
        <w:numPr>
          <w:numId w:val="1025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El código anterior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namespaces"/>
      <w:bookmarkEnd w:id="53"/>
      <w:r>
        <w:t xml:space="preserve">Namespaces</w:t>
      </w:r>
    </w:p>
    <w:p>
      <w:pPr>
        <w:numPr>
          <w:numId w:val="1027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7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scope"/>
      <w:bookmarkEnd w:id="54"/>
      <w:r>
        <w:t xml:space="preserve">Scope</w:t>
      </w:r>
    </w:p>
    <w:p>
      <w:pPr>
        <w:pStyle w:val="Compact"/>
        <w:numPr>
          <w:numId w:val="1029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imports"/>
      <w:bookmarkEnd w:id="55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6" w:name="acerca-de"/>
      <w:bookmarkEnd w:id="56"/>
      <w:r>
        <w:t xml:space="preserve">Acerca de</w:t>
      </w:r>
    </w:p>
    <w:p>
      <w:pPr>
        <w:pStyle w:val="Heading2"/>
      </w:pPr>
      <w:bookmarkStart w:id="57" w:name="licencia"/>
      <w:bookmarkEnd w:id="57"/>
      <w:r>
        <w:t xml:space="preserve">Licencia</w:t>
      </w:r>
    </w:p>
    <w:p>
      <w:pPr>
        <w:pStyle w:val="Compact"/>
        <w:numPr>
          <w:numId w:val="1030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1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0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2"/>
          <w:ilvl w:val="1"/>
        </w:numPr>
      </w:pPr>
      <w:hyperlink r:id="rId58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9" w:name="fuentes"/>
      <w:bookmarkEnd w:id="59"/>
      <w:r>
        <w:t xml:space="preserve">Fuentes</w:t>
      </w:r>
    </w:p>
    <w:p>
      <w:pPr>
        <w:pStyle w:val="Compact"/>
        <w:numPr>
          <w:numId w:val="1033"/>
          <w:ilvl w:val="0"/>
        </w:numPr>
      </w:pPr>
      <w:r>
        <w:t xml:space="preserve">Transparencias:</w:t>
      </w:r>
    </w:p>
    <w:p>
      <w:pPr>
        <w:pStyle w:val="Compact"/>
        <w:numPr>
          <w:numId w:val="1034"/>
          <w:ilvl w:val="1"/>
        </w:numPr>
      </w:pPr>
      <w:hyperlink r:id="rId60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033"/>
          <w:ilvl w:val="0"/>
        </w:numPr>
      </w:pPr>
      <w:r>
        <w:t xml:space="preserve">Ejercicios:</w:t>
      </w:r>
    </w:p>
    <w:p>
      <w:pPr>
        <w:pStyle w:val="Compact"/>
        <w:numPr>
          <w:numId w:val="1035"/>
          <w:ilvl w:val="1"/>
        </w:numPr>
      </w:pPr>
      <w:hyperlink r:id="rId61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62" w:name="bibliografía"/>
      <w:bookmarkEnd w:id="62"/>
      <w:r>
        <w:t xml:space="preserve">Bibliografía</w:t>
      </w:r>
    </w:p>
    <w:p>
      <w:pPr>
        <w:pStyle w:val="Compact"/>
        <w:numPr>
          <w:numId w:val="1036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7"/>
          <w:ilvl w:val="1"/>
        </w:numPr>
      </w:pPr>
      <w:hyperlink r:id="rId63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011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dd8b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58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63" Target="http://lesscss.org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0" Target="https://github.com/asanzdiego/curso-interfaces-web-2016/tree/master/04-preprocesadores-css/04.01-less/slides" TargetMode="External" /><Relationship Type="http://schemas.openxmlformats.org/officeDocument/2006/relationships/hyperlink" Id="rId61" Target="https://github.com/asanzdiego/curso-interfaces-web-2016/tree/master/04-preprocesadores-css/04.01-less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4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58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63" Target="http://lesscss.org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0" Target="https://github.com/asanzdiego/curso-interfaces-web-2016/tree/master/04-preprocesadores-css/04.01-less/slides" TargetMode="External" /><Relationship Type="http://schemas.openxmlformats.org/officeDocument/2006/relationships/hyperlink" Id="rId61" Target="https://github.com/asanzdiego/curso-interfaces-web-2016/tree/master/04-preprocesadores-css/04.01-less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4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