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Extended Data Model for District Court Legal Application</w:t>
      </w:r>
    </w:p>
    <w:p>
      <w:r>
        <w:t>This document expands on the initial list of data points provided, filling in additional entities and attributes required for a production-ready legal application. Each section below lists the recommended data items, with (★) indicating one-to-many relationships.</w:t>
      </w:r>
    </w:p>
    <w:p>
      <w:pPr>
        <w:pStyle w:val="Heading2"/>
      </w:pPr>
      <w:r>
        <w:t>Case / Matter</w:t>
      </w:r>
    </w:p>
    <w:p>
      <w:pPr>
        <w:pStyle w:val="ListBullet"/>
      </w:pPr>
      <w:r>
        <w:t>- Case IDs: internal, official CM/ECF; caption/title; practice area; filing date; status (enum), stage.</w:t>
      </w:r>
    </w:p>
    <w:p>
      <w:pPr>
        <w:pStyle w:val="ListBullet"/>
      </w:pPr>
      <w:r>
        <w:t>- Court: district/division, courthouse location, time zone.</w:t>
      </w:r>
    </w:p>
    <w:p>
      <w:pPr>
        <w:pStyle w:val="ListBullet"/>
      </w:pPr>
      <w:r>
        <w:t>- Parties (★): party type (person/org), role (plaintiff/defendant/third-party), service addresses (★).</w:t>
      </w:r>
    </w:p>
    <w:p>
      <w:pPr>
        <w:pStyle w:val="ListBullet"/>
      </w:pPr>
      <w:r>
        <w:t>- Our team (★): matter owner, team members/roles; opposing counsel (★) with firm, bar no., contacts.</w:t>
      </w:r>
    </w:p>
    <w:p>
      <w:pPr>
        <w:pStyle w:val="ListBullet"/>
      </w:pPr>
      <w:r>
        <w:t>- Related/companion cases (★); legal hold flag; confidentiality level; tags/keywords (★).</w:t>
      </w:r>
    </w:p>
    <w:p>
      <w:pPr>
        <w:pStyle w:val="ListBullet"/>
      </w:pPr>
      <w:r>
        <w:t>- Notes/strategy log (★); attachments (★) with source, hash, OCR status.</w:t>
      </w:r>
    </w:p>
    <w:p>
      <w:pPr>
        <w:pStyle w:val="Heading2"/>
      </w:pPr>
      <w:r>
        <w:t>Judge Profile</w:t>
      </w:r>
    </w:p>
    <w:p>
      <w:pPr>
        <w:pStyle w:val="ListBullet"/>
      </w:pPr>
      <w:r>
        <w:t>- Judge ID; name; courtroom; chambers URL; contact channel.</w:t>
      </w:r>
    </w:p>
    <w:p>
      <w:pPr>
        <w:pStyle w:val="ListBullet"/>
      </w:pPr>
      <w:r>
        <w:t>- Standing orders/procedures (versioned) (★) with effective/expiry.</w:t>
      </w:r>
    </w:p>
    <w:p>
      <w:pPr>
        <w:pStyle w:val="ListBullet"/>
      </w:pPr>
      <w:r>
        <w:t>- Preferences: filing format (single vs multi-PDF), exhibit labeling, motion practice, hearing scheduling windows, filing cutoff times.</w:t>
      </w:r>
    </w:p>
    <w:p>
      <w:pPr>
        <w:pStyle w:val="ListBullet"/>
      </w:pPr>
      <w:r>
        <w:t>- Substitute/associate judges (★); holiday calendar override.</w:t>
      </w:r>
    </w:p>
    <w:p>
      <w:pPr>
        <w:pStyle w:val="Heading2"/>
      </w:pPr>
      <w:r>
        <w:t>Rules / Authorities</w:t>
      </w:r>
    </w:p>
    <w:p>
      <w:pPr>
        <w:pStyle w:val="ListBullet"/>
      </w:pPr>
      <w:r>
        <w:t>- Type (FRCP, Local Rule, Judge Procedure, ECF manual, Standing Order).</w:t>
      </w:r>
    </w:p>
    <w:p>
      <w:pPr>
        <w:pStyle w:val="ListBullet"/>
      </w:pPr>
      <w:r>
        <w:t>- Citation; jurisdiction/scope; version; effective date; superseded-by link.</w:t>
      </w:r>
    </w:p>
    <w:p>
      <w:pPr>
        <w:pStyle w:val="ListBullet"/>
      </w:pPr>
      <w:r>
        <w:t>- Full text + structured clauses (★); attachments/URLs; cross-references (★).</w:t>
      </w:r>
    </w:p>
    <w:p>
      <w:pPr>
        <w:pStyle w:val="Heading2"/>
      </w:pPr>
      <w:r>
        <w:t>Deadlines &amp; Tasks</w:t>
      </w:r>
    </w:p>
    <w:p>
      <w:pPr>
        <w:pStyle w:val="ListBullet"/>
      </w:pPr>
      <w:r>
        <w:t>- Trigger type (rule, court order, user); trigger source link (docket/rule id).</w:t>
      </w:r>
    </w:p>
    <w:p>
      <w:pPr>
        <w:pStyle w:val="ListBullet"/>
      </w:pPr>
      <w:r>
        <w:t>- Computation basis (calendar vs business days), court holiday calendar, time zone.</w:t>
      </w:r>
    </w:p>
    <w:p>
      <w:pPr>
        <w:pStyle w:val="ListBullet"/>
      </w:pPr>
      <w:r>
        <w:t>- Due date/time; reminders (★) [when, channel]; predecessors/blocked-by (★).</w:t>
      </w:r>
    </w:p>
    <w:p>
      <w:pPr>
        <w:pStyle w:val="ListBullet"/>
      </w:pPr>
      <w:r>
        <w:t>- Assignee/owner; priority; status; snooze/extension details; outcome (met/missed).</w:t>
      </w:r>
    </w:p>
    <w:p>
      <w:pPr>
        <w:pStyle w:val="ListBullet"/>
      </w:pPr>
      <w:r>
        <w:t>- Computation rationale (stored text) for audit; created/updated by; timestamps.</w:t>
      </w:r>
    </w:p>
    <w:p>
      <w:pPr>
        <w:pStyle w:val="Heading2"/>
      </w:pPr>
      <w:r>
        <w:t>Docket &amp; Filings</w:t>
      </w:r>
    </w:p>
    <w:p>
      <w:pPr>
        <w:pStyle w:val="ListBullet"/>
      </w:pPr>
      <w:r>
        <w:t>- Docket entries (★): entry no., date/time, type, description, PDFs/links.</w:t>
      </w:r>
    </w:p>
    <w:p>
      <w:pPr>
        <w:pStyle w:val="ListBullet"/>
      </w:pPr>
      <w:r>
        <w:t>- Filings (★): document type, ECF category, e-file packaging (single/multi-PDF), exhibit index (★), service list (★), served date/time/method.</w:t>
      </w:r>
    </w:p>
    <w:p>
      <w:pPr>
        <w:pStyle w:val="Heading2"/>
      </w:pPr>
      <w:r>
        <w:t>Hearings / Events</w:t>
      </w:r>
    </w:p>
    <w:p>
      <w:pPr>
        <w:pStyle w:val="ListBullet"/>
      </w:pPr>
      <w:r>
        <w:t>- Hearing type; date/time; location or virtual link; appearance requirements; time limits.</w:t>
      </w:r>
    </w:p>
    <w:p>
      <w:pPr>
        <w:pStyle w:val="ListBullet"/>
      </w:pPr>
      <w:r>
        <w:t>- Outcome (granted/denied/continued); post-hearing tasks (★).</w:t>
      </w:r>
    </w:p>
    <w:p>
      <w:pPr>
        <w:pStyle w:val="Heading2"/>
      </w:pPr>
      <w:r>
        <w:t>Contacts</w:t>
      </w:r>
    </w:p>
    <w:p>
      <w:pPr>
        <w:pStyle w:val="ListBullet"/>
      </w:pPr>
      <w:r>
        <w:t>- Opposing counsel (★): name, firm, phones/emails, bar nos., role per case.</w:t>
      </w:r>
    </w:p>
    <w:p>
      <w:pPr>
        <w:pStyle w:val="ListBullet"/>
      </w:pPr>
      <w:r>
        <w:t>- Client contacts (★), experts (★), vendors/court reporters (★).</w:t>
      </w:r>
    </w:p>
    <w:p>
      <w:pPr>
        <w:pStyle w:val="ListBullet"/>
      </w:pPr>
      <w:r>
        <w:t>- Preferred contact method; availability windows (optional).</w:t>
      </w:r>
    </w:p>
    <w:p>
      <w:pPr>
        <w:pStyle w:val="Heading2"/>
      </w:pPr>
      <w:r>
        <w:t>Users / AuthZ</w:t>
      </w:r>
    </w:p>
    <w:p>
      <w:pPr>
        <w:pStyle w:val="ListBullet"/>
      </w:pPr>
      <w:r>
        <w:t>- Users: role (admin/lawyer/paralegal/guest), team/firm, MFA/SSO ids.</w:t>
      </w:r>
    </w:p>
    <w:p>
      <w:pPr>
        <w:pStyle w:val="ListBullet"/>
      </w:pPr>
      <w:r>
        <w:t>- Case-level permissions (view/edit/deadlines/filings granularity); audit trail.</w:t>
      </w:r>
    </w:p>
    <w:p>
      <w:pPr>
        <w:pStyle w:val="Heading2"/>
      </w:pPr>
      <w:r>
        <w:t>Alerts &amp; Notifications</w:t>
      </w:r>
    </w:p>
    <w:p>
      <w:pPr>
        <w:pStyle w:val="ListBullet"/>
      </w:pPr>
      <w:r>
        <w:t>- Subscriptions per user/case (★); channel (in-app/email/SMS/push).</w:t>
      </w:r>
    </w:p>
    <w:p>
      <w:pPr>
        <w:pStyle w:val="ListBullet"/>
      </w:pPr>
      <w:r>
        <w:t>- Templates (★); escalation rules; delivery logs (★) with status.</w:t>
      </w:r>
    </w:p>
    <w:p>
      <w:pPr>
        <w:pStyle w:val="Heading2"/>
      </w:pPr>
      <w:r>
        <w:t>Calendar &amp; Integrations</w:t>
      </w:r>
    </w:p>
    <w:p>
      <w:pPr>
        <w:pStyle w:val="ListBullet"/>
      </w:pPr>
      <w:r>
        <w:t>- External calendar event ids (Google/M365) (★), last sync, sync state.</w:t>
      </w:r>
    </w:p>
    <w:p>
      <w:pPr>
        <w:pStyle w:val="ListBullet"/>
      </w:pPr>
      <w:r>
        <w:t>- Email integration metadata (optional): message ids for auto-file.</w:t>
      </w:r>
    </w:p>
    <w:p>
      <w:pPr>
        <w:pStyle w:val="ListBullet"/>
      </w:pPr>
      <w:r>
        <w:t>- PACER/CM-ECF credentials (vaulted); rate/billing meters; API rate limits.</w:t>
      </w:r>
    </w:p>
    <w:p>
      <w:pPr>
        <w:pStyle w:val="Heading2"/>
      </w:pPr>
      <w:r>
        <w:t>Ingestion / ML (for RAG &amp; search)</w:t>
      </w:r>
    </w:p>
    <w:p>
      <w:pPr>
        <w:pStyle w:val="ListBullet"/>
      </w:pPr>
      <w:r>
        <w:t>- Corpus documents (★): source, URL, version, file hash, mime, pages, OCR’d.</w:t>
      </w:r>
    </w:p>
    <w:p>
      <w:pPr>
        <w:pStyle w:val="ListBullet"/>
      </w:pPr>
      <w:r>
        <w:t>- Chunks (★): offsets, headings, embedding id, model version.</w:t>
      </w:r>
    </w:p>
    <w:p>
      <w:pPr>
        <w:pStyle w:val="ListBullet"/>
      </w:pPr>
      <w:r>
        <w:t>- Retrieval runs (★): query, top-k, scores, selected spans (for citations/audit).</w:t>
      </w:r>
    </w:p>
    <w:p>
      <w:pPr>
        <w:pStyle w:val="Heading2"/>
      </w:pPr>
      <w:r>
        <w:t>Audit / Compliance / Ops</w:t>
      </w:r>
    </w:p>
    <w:p>
      <w:pPr>
        <w:pStyle w:val="ListBullet"/>
      </w:pPr>
      <w:r>
        <w:t>- Global audit log (★): who/what/when/before/after; soft-delete (`deleted_at`).</w:t>
      </w:r>
    </w:p>
    <w:p>
      <w:pPr>
        <w:pStyle w:val="ListBullet"/>
      </w:pPr>
      <w:r>
        <w:t>- Retention policies; export packages; data residency (tenant).</w:t>
      </w:r>
    </w:p>
    <w:p>
      <w:pPr>
        <w:pStyle w:val="ListBullet"/>
      </w:pPr>
      <w:r>
        <w:t>- Court holiday calendars (★); feature flags; health/error logs; SLAs.</w:t>
      </w:r>
    </w:p>
    <w:p>
      <w:pPr>
        <w:pStyle w:val="Heading2"/>
      </w:pPr>
      <w:r>
        <w:t>Normalization Tips</w:t>
      </w:r>
    </w:p>
    <w:p>
      <w:r>
        <w:t>- Version Rules/Procedures and reference the specific version from each Deadline for defensibility.</w:t>
        <w:br/>
        <w:t>- Store time zone on all time-based records; compute using the court’s locale.</w:t>
        <w:br/>
        <w:t>- Model Party, Attorney, Contact separately; relate via role tables.</w:t>
        <w:br/>
        <w:t>- Keep filing recipes (judge-specific packaging rules) as structured objects, not free text.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