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jc w:val="left"/>
      </w:pPr>
      <w:r>
        <w:rPr>
          <w:b/>
          <w:bCs/>
          <w:i w:val="false"/>
          <w:iCs w:val="false"/>
        </w:rPr>
        <w:t xml:space="preserve">Annotations</w:t>
      </w:r>
    </w:p>
    <w:p>
      <w:pPr>
        <w:jc w:val="left"/>
      </w:pPr>
      <w:r>
        <w:rPr>
          <w:b w:val="false"/>
          <w:bCs w:val="false"/>
          <w:i/>
          <w:iCs/>
        </w:rPr>
        <w:t xml:space="preserve">powered by</w:t>
      </w:r>
    </w:p>
    <w:p>
      <w:pPr>
        <w:pStyle w:val="Heading4"/>
        <w:jc w:val="left"/>
      </w:pPr>
      <w:r>
        <w:rPr>
          <w:b/>
          <w:bCs/>
          <w:i w:val="false"/>
          <w:iCs w:val="false"/>
        </w:rPr>
        <w:t xml:space="preserve">URL: https://www.hud.gov/program_offices/comm_planning/environment_energy/environmental_review</w:t>
      </w:r>
    </w:p>
    <w:p>
      <w:pPr>
        <w:jc w:val="left"/>
      </w:pPr>
      <w:r>
        <w:t xml:space="preserve">There are no annotations for the current URL.</w:t>
      </w:r>
    </w:p>
    <w:p>
      <w:pPr>
        <w:pStyle w:val="Heading4"/>
        <w:jc w:val="center"/>
      </w:pPr>
      <w:r>
        <w:rPr>
          <w:b/>
          <w:bCs/>
          <w:i w:val="false"/>
          <w:iCs w:val="false"/>
        </w:rPr>
        <w:t xml:space="preserve">Domain</w:t>
      </w:r>
    </w:p>
    <w:p>
      <w:pPr>
        <w:jc w:val="left"/>
      </w:pPr>
      <w:r>
        <w:rPr>
          <w:b/>
          <w:bCs/>
          <w:i w:val="false"/>
          <w:iCs w:val="false"/>
        </w:rPr>
        <w:t xml:space="preserve">adam5</w:t>
      </w:r>
      <w:r>
        <w:t xml:space="preserve"> Dated on 2024-09-14</w:t>
      </w:r>
    </w:p>
    <w:p>
      <w:pPr>
        <w:jc w:val="left"/>
      </w:pPr>
      <w:r>
        <w:drawing>
          <wp:inline distT="0" distB="0" distL="0" distR="0">
            <wp:extent cx="690563"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90563" cy="714375"/>
                    </a:xfrm>
                    <a:prstGeom prst="rect">
                      <a:avLst/>
                    </a:prstGeom>
                  </pic:spPr>
                </pic:pic>
              </a:graphicData>
            </a:graphic>
          </wp:inline>
        </w:drawing>
      </w:r>
    </w:p>
    <w:p>
      <w:pPr>
        <w:jc w:val="left"/>
      </w:pPr>
      <w:r>
        <w:t xml:space="preserve">Public on Biden-Harris Administration Commemorates 30th Anniversary of the Violence Against Women Act</w:t>
      </w:r>
    </w:p>
    <w:p>
      <w:pPr>
        <w:jc w:val="left"/>
      </w:pPr>
      <w:r>
        <w:t xml:space="preserve">WASHINGTON - To commemorate the 30th anniversary of the Violence Against Women Act (VAWA), the U.S. Department of Housing and Urban Development today joined four federal agencies—the U.S. Department of Agriculture, U.S. Department of Justice, the U.S. Department of Treasury, and the U.S. Department of Veterans Affairs— to issue an interagency statement on VAWA’s housing provisions. VAWA is a landmark piece of legislation that transformed the United States’ response to sexual assault, domestic violence, dating violence, and stalking. The statement released today upholds the Biden-Harris Administration’s commitment to ensuring that survivors of sexual assault, domestic violence, dating violence, and stalking do not lose their housing or housing assistance, experience housing instability, or become at risk of homelessness, because of the violence that they have experienced.</w:t>
      </w:r>
    </w:p>
    <w:p>
      <w:pPr>
        <w:jc w:val="left"/>
      </w:pPr>
      <w:r>
        <w:t xml:space="preserve">https://x.com/itstheholy1/status/1834965423525138794 California, Arizona, Florida ... at least those three; and that's several; all of them have "documented histories of not only not providing the service" but not having wait lists and "not really having a time when wait lists will be "available." Social Welfare, as in "the only purpose of the government other than protecting us from enemies domestic and abroad" has been left by the wayside and ... ############# stars or "you" pay?</w:t>
      </w:r>
    </w:p>
    <w:p>
      <w:pPr>
        <w:jc w:val="left"/>
      </w:pPr>
      <w:r>
        <w:rPr>
          <w:b/>
          <w:bCs/>
          <w:i w:val="false"/>
          <w:iCs w:val="false"/>
        </w:rPr>
        <w:t xml:space="preserve">Show in Context</w:t>
      </w:r>
    </w:p>
    <w:p>
      <w:pPr>
        <w:jc w:val="left"/>
      </w:pPr>
      <w:r>
        <w:rPr>
          <w:b/>
          <w:bCs/>
          <w:i w:val="false"/>
          <w:iCs w:val="false"/>
        </w:rPr>
        <w:t xml:space="preserve">parker101</w:t>
      </w:r>
      <w:r>
        <w:t xml:space="preserve"> Dated on 2020-11-29</w:t>
      </w:r>
    </w:p>
    <w:p>
      <w:pPr>
        <w:jc w:val="left"/>
      </w:pPr>
      <w:r>
        <w:drawing>
          <wp:inline distT="0" distB="0" distL="0" distR="0">
            <wp:extent cx="690563"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90563" cy="714375"/>
                    </a:xfrm>
                    <a:prstGeom prst="rect">
                      <a:avLst/>
                    </a:prstGeom>
                  </pic:spPr>
                </pic:pic>
              </a:graphicData>
            </a:graphic>
          </wp:inline>
        </w:drawing>
      </w:r>
    </w:p>
    <w:p>
      <w:pPr>
        <w:jc w:val="left"/>
      </w:pPr>
      <w:r>
        <w:t xml:space="preserve">Public on Public Housing | HUD.gov / U.S. Department of Housing and Urban Development (HUD)</w:t>
      </w:r>
    </w:p>
    <w:p>
      <w:pPr>
        <w:jc w:val="left"/>
      </w:pPr>
      <w:r>
        <w:t xml:space="preserve">Public housing</w:t>
      </w:r>
    </w:p>
    <w:p>
      <w:pPr>
        <w:jc w:val="left"/>
      </w:pPr>
      <w:r>
        <w:rPr>
          <w:b/>
          <w:bCs/>
          <w:i w:val="false"/>
          <w:iCs w:val="false"/>
        </w:rPr>
        <w:t xml:space="preserve">Show in Context</w:t>
      </w:r>
    </w:p>
    <w:p>
      <w:pPr>
        <w:jc w:val="left"/>
      </w:pPr>
      <w:r>
        <w:rPr>
          <w:b/>
          <w:bCs/>
          <w:i w:val="false"/>
          <w:iCs w:val="false"/>
        </w:rPr>
        <w:t xml:space="preserve">imron</w:t>
      </w:r>
      <w:r>
        <w:t xml:space="preserve"> Dated on 2020-09-02</w:t>
      </w:r>
    </w:p>
    <w:p>
      <w:pPr>
        <w:jc w:val="left"/>
      </w:pPr>
      <w:r>
        <w:drawing>
          <wp:inline distT="0" distB="0" distL="0" distR="0">
            <wp:extent cx="690563"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90563" cy="714375"/>
                    </a:xfrm>
                    <a:prstGeom prst="rect">
                      <a:avLst/>
                    </a:prstGeom>
                  </pic:spPr>
                </pic:pic>
              </a:graphicData>
            </a:graphic>
          </wp:inline>
        </w:drawing>
      </w:r>
    </w:p>
    <w:p>
      <w:pPr>
        <w:jc w:val="left"/>
      </w:pPr>
      <w:r>
        <w:t xml:space="preserve">Public on Special Attention of</w:t>
      </w:r>
    </w:p>
    <w:p>
      <w:pPr>
        <w:jc w:val="left"/>
      </w:pPr>
      <w:r>
        <w:t xml:space="preserve">Owner B must not be subject to any of the following actions that have not been resolved to HUD’s satisfaction</w:t>
      </w:r>
    </w:p>
    <w:p>
      <w:pPr>
        <w:jc w:val="left"/>
      </w:pPr>
      <w:r>
        <w:t xml:space="preserve">VI(A)(5) - Owner B</w:t>
      </w:r>
    </w:p>
    <w:p>
      <w:pPr>
        <w:jc w:val="left"/>
      </w:pPr>
      <w:r>
        <w:rPr>
          <w:b/>
          <w:bCs/>
          <w:i w:val="false"/>
          <w:iCs w:val="false"/>
        </w:rPr>
        <w:t xml:space="preserve">Show in Context</w:t>
      </w:r>
    </w:p>
    <w:p>
      <w:pPr>
        <w:jc w:val="left"/>
      </w:pPr>
      <w:r>
        <w:rPr>
          <w:b/>
          <w:bCs/>
          <w:i w:val="false"/>
          <w:iCs w:val="false"/>
        </w:rPr>
        <w:t xml:space="preserve">imron</w:t>
      </w:r>
      <w:r>
        <w:t xml:space="preserve"> Dated on 2020-09-02</w:t>
      </w:r>
    </w:p>
    <w:p>
      <w:pPr>
        <w:jc w:val="left"/>
      </w:pPr>
      <w:r>
        <w:drawing>
          <wp:inline distT="0" distB="0" distL="0" distR="0">
            <wp:extent cx="690563"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90563" cy="714375"/>
                    </a:xfrm>
                    <a:prstGeom prst="rect">
                      <a:avLst/>
                    </a:prstGeom>
                  </pic:spPr>
                </pic:pic>
              </a:graphicData>
            </a:graphic>
          </wp:inline>
        </w:drawing>
      </w:r>
    </w:p>
    <w:p>
      <w:pPr>
        <w:jc w:val="left"/>
      </w:pPr>
      <w:r>
        <w:t xml:space="preserve">Public on Special Attention of</w:t>
      </w:r>
    </w:p>
    <w:p>
      <w:pPr>
        <w:jc w:val="left"/>
      </w:pPr>
      <w:r>
        <w:t xml:space="preserve">Owner Amust identify any Fair Housing litigation settlement agreements, voluntary compliance agreements, or other remedial agreements signed by the Owner and HUD.The Office of Fair Housing and Equal Opportunity (FHEO) will ensure there is no conflict between the agreements and the proposed transfer. If there is a conflict, Owner A may propose modifications to the remedial agreement as part of the transfer proposal.</w:t>
      </w:r>
    </w:p>
    <w:p>
      <w:pPr>
        <w:jc w:val="left"/>
      </w:pPr>
      <w:r>
        <w:t xml:space="preserve">V(D)(6) - Owner A</w:t>
      </w:r>
    </w:p>
    <w:p>
      <w:pPr>
        <w:jc w:val="left"/>
      </w:pPr>
      <w:r>
        <w:rPr>
          <w:b/>
          <w:bCs/>
          <w:i w:val="false"/>
          <w:iCs w:val="false"/>
        </w:rPr>
        <w:t xml:space="preserve">Show in Context</w:t>
      </w:r>
    </w:p>
    <w:p>
      <w:pPr>
        <w:jc w:val="left"/>
      </w:pPr>
      <w:r>
        <w:rPr>
          <w:b/>
          <w:bCs/>
          <w:i w:val="false"/>
          <w:iCs w:val="false"/>
        </w:rPr>
        <w:t xml:space="preserve">imron</w:t>
      </w:r>
      <w:r>
        <w:t xml:space="preserve"> Dated on 2020-09-02</w:t>
      </w:r>
    </w:p>
    <w:p>
      <w:pPr>
        <w:jc w:val="left"/>
      </w:pPr>
      <w:r>
        <w:drawing>
          <wp:inline distT="0" distB="0" distL="0" distR="0">
            <wp:extent cx="690563"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90563" cy="714375"/>
                    </a:xfrm>
                    <a:prstGeom prst="rect">
                      <a:avLst/>
                    </a:prstGeom>
                  </pic:spPr>
                </pic:pic>
              </a:graphicData>
            </a:graphic>
          </wp:inline>
        </w:drawing>
      </w:r>
    </w:p>
    <w:p>
      <w:pPr>
        <w:jc w:val="left"/>
      </w:pPr>
      <w:r>
        <w:t xml:space="preserve">Public on Special Attention of</w:t>
      </w:r>
    </w:p>
    <w:p>
      <w:pPr>
        <w:jc w:val="left"/>
      </w:pPr>
      <w:r>
        <w:t xml:space="preserve">6</w:t>
      </w:r>
    </w:p>
    <w:p>
      <w:pPr>
        <w:jc w:val="left"/>
      </w:pPr>
      <w:r>
        <w:t xml:space="preserve">VI.6, site and neighborhood standards</w:t>
      </w:r>
    </w:p>
    <w:p>
      <w:pPr>
        <w:jc w:val="left"/>
      </w:pPr>
      <w:r>
        <w:rPr>
          <w:b/>
          <w:bCs/>
          <w:i w:val="false"/>
          <w:iCs w:val="false"/>
        </w:rPr>
        <w:t xml:space="preserve">Show in Context</w:t>
      </w:r>
    </w:p>
    <w:p>
      <w:pPr>
        <w:jc w:val="left"/>
      </w:pPr>
      <w:r>
        <w:rPr>
          <w:b/>
          <w:bCs/>
          <w:i w:val="false"/>
          <w:iCs w:val="false"/>
        </w:rPr>
        <w:t xml:space="preserve">imron</w:t>
      </w:r>
      <w:r>
        <w:t xml:space="preserve"> Dated on 2020-07-23</w:t>
      </w:r>
    </w:p>
    <w:p>
      <w:pPr>
        <w:jc w:val="left"/>
      </w:pPr>
      <w:r>
        <w:drawing>
          <wp:inline distT="0" distB="0" distL="0" distR="0">
            <wp:extent cx="690563"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90563" cy="714375"/>
                    </a:xfrm>
                    <a:prstGeom prst="rect">
                      <a:avLst/>
                    </a:prstGeom>
                  </pic:spPr>
                </pic:pic>
              </a:graphicData>
            </a:graphic>
          </wp:inline>
        </w:drawing>
      </w:r>
    </w:p>
    <w:p>
      <w:pPr>
        <w:jc w:val="left"/>
      </w:pPr>
      <w:r>
        <w:t xml:space="preserve">Public on 6228-F-01 Preserving Housing and Neighborhood Choice 7.23.20 for posting final final</w:t>
      </w:r>
    </w:p>
    <w:p>
      <w:pPr>
        <w:jc w:val="left"/>
      </w:pPr>
      <w:r>
        <w:t xml:space="preserve">The case law is clear that “HUD maintains discretion in determining how the agency will fulfill its AFFH obligation.”5</w:t>
      </w:r>
    </w:p>
    <w:p>
      <w:pPr>
        <w:jc w:val="left"/>
      </w:pPr>
      <w:r>
        <w:t xml:space="preserve">"HUD maintains discretion in determining how the agency will fulfill its AFFH obligation, </w:t>
      </w:r>
      <w:r>
        <w:rPr>
          <w:b w:val="false"/>
          <w:bCs w:val="false"/>
          <w:i/>
          <w:iCs/>
        </w:rPr>
        <w:t xml:space="preserve">but courts have “the power to review [ ] claim[s] that the Secretary has not ‘administer[ed]’ certain HUD programs ‘in a manner affirmatively to further’ the Act's basic policy.”</w:t>
      </w:r>
      <w:r>
        <w:t xml:space="preserve"> Carson, 330 F. Supp. 3d 14, 25 (D.D.C. 2018), </w:t>
      </w:r>
      <w:r>
        <w:rPr>
          <w:b w:val="false"/>
          <w:bCs w:val="false"/>
          <w:i/>
          <w:iCs/>
        </w:rPr>
        <w:t xml:space="preserve">citing</w:t>
      </w:r>
      <w:r>
        <w:t xml:space="preserve"> NAACP, 817 F.2d at 151</w:t>
      </w:r>
    </w:p>
    <w:p>
      <w:pPr>
        <w:jc w:val="left"/>
      </w:pPr>
      <w:r>
        <w:rPr>
          <w:b/>
          <w:bCs/>
          <w:i w:val="false"/>
          <w:iCs w:val="false"/>
        </w:rPr>
        <w:t xml:space="preserve">Show in Context</w:t>
      </w:r>
    </w:p>
    <w:p>
      <w:pPr>
        <w:jc w:val="left"/>
      </w:pPr>
      <w:r>
        <w:rPr>
          <w:b/>
          <w:bCs/>
          <w:i w:val="false"/>
          <w:iCs w:val="false"/>
        </w:rPr>
        <w:t xml:space="preserve">imron</w:t>
      </w:r>
      <w:r>
        <w:t xml:space="preserve"> Dated on 2020-07-23</w:t>
      </w:r>
    </w:p>
    <w:p>
      <w:pPr>
        <w:jc w:val="left"/>
      </w:pPr>
      <w:r>
        <w:drawing>
          <wp:inline distT="0" distB="0" distL="0" distR="0">
            <wp:extent cx="690563"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90563" cy="714375"/>
                    </a:xfrm>
                    <a:prstGeom prst="rect">
                      <a:avLst/>
                    </a:prstGeom>
                  </pic:spPr>
                </pic:pic>
              </a:graphicData>
            </a:graphic>
          </wp:inline>
        </w:drawing>
      </w:r>
    </w:p>
    <w:p>
      <w:pPr>
        <w:jc w:val="left"/>
      </w:pPr>
      <w:r>
        <w:t xml:space="preserve">Public on 6228-F-01 Preserving Housing and Neighborhood Choice 7.23.20 for posting final final</w:t>
      </w:r>
    </w:p>
    <w:p>
      <w:pPr>
        <w:jc w:val="left"/>
      </w:pPr>
      <w:r>
        <w:t xml:space="preserve">Any broader construction of the AFFH obligation is difficult to square with the sponsor Senator Mondale’s unambiguous pronouncement that the FHA’s policy to “provide . . . for fair housing” means “the elimination of discrimination in the sale or rental of housing. That is all it could possibly mean.”</w:t>
      </w:r>
    </w:p>
    <w:p>
      <w:pPr>
        <w:jc w:val="left"/>
      </w:pPr>
      <w:r>
        <w:t xml:space="preserve">The cited passage contradicts this, stating: "the legislative history does not support so constricted a reading of the statute. It is true that the sponsors of the law, including Senator Mondale, its chief sponsor, made absolutely clear that Title VIII's policy to “provide ... for fair housing” means “the elimination of discrimination in the sale or rental of housing. That is all it could possibly mean.” [citations omitted] But it is equally true that the law's supporters saw the ending of discrimination as a means toward truly opening the nation's housing stock to persons of every race and creed. [citations omitted] This broader goal suggests an intent that HUD do more than simply not discriminate itself; it reflects the desire to have HUD use its grant programs to assist in ending discrimination and segregation, to the point where the supply of genuinely open housing increases. </w:t>
      </w:r>
      <w:r>
        <w:rPr>
          <w:b/>
          <w:bCs/>
          <w:i w:val="false"/>
          <w:iCs w:val="false"/>
        </w:rPr>
        <w:t xml:space="preserve">This view of the effect that Congress intended is at odds with the government's very narrow view of its obligation.</w:t>
      </w:r>
      <w:r>
        <w:t xml:space="preserve"> N.A.A.C.P. v. Sec'y of Hous. &amp; Urban Dev., 817 F.2d 149, 154–55 (1st Cir. 1987)</w:t>
      </w:r>
    </w:p>
    <w:p>
      <w:pPr>
        <w:jc w:val="left"/>
      </w:pPr>
      <w:r>
        <w:rPr>
          <w:b/>
          <w:bCs/>
          <w:i w:val="false"/>
          <w:iCs w:val="false"/>
        </w:rPr>
        <w:t xml:space="preserve">Show in Context</w:t>
      </w:r>
    </w:p>
    <w:p>
      <w:pPr>
        <w:jc w:val="left"/>
      </w:pPr>
      <w:r>
        <w:rPr>
          <w:b/>
          <w:bCs/>
          <w:i w:val="false"/>
          <w:iCs w:val="false"/>
        </w:rPr>
        <w:t xml:space="preserve">imron</w:t>
      </w:r>
      <w:r>
        <w:t xml:space="preserve"> Dated on 2020-01-07</w:t>
      </w:r>
    </w:p>
    <w:p>
      <w:pPr>
        <w:jc w:val="left"/>
      </w:pPr>
      <w:r>
        <w:drawing>
          <wp:inline distT="0" distB="0" distL="0" distR="0">
            <wp:extent cx="690563"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90563" cy="714375"/>
                    </a:xfrm>
                    <a:prstGeom prst="rect">
                      <a:avLst/>
                    </a:prstGeom>
                  </pic:spPr>
                </pic:pic>
              </a:graphicData>
            </a:graphic>
          </wp:inline>
        </w:drawing>
      </w:r>
    </w:p>
    <w:p>
      <w:pPr>
        <w:jc w:val="left"/>
      </w:pPr>
      <w:r>
        <w:t xml:space="preserve">Public on Pre-PubPropRule1-7-20.pdf.pdf</w:t>
      </w:r>
    </w:p>
    <w:p>
      <w:pPr>
        <w:jc w:val="left"/>
      </w:pPr>
      <w:r>
        <w:t xml:space="preserve">)</w:t>
      </w:r>
    </w:p>
    <w:p>
      <w:pPr>
        <w:jc w:val="left"/>
      </w:pPr>
      <w:r>
        <w:t xml:space="preserve">removed racial analysis "2) Until the jurisdiction has submitted an AFH, which includes an assessment of disproportionate housing needs in accordance with 24 CFR 5.154(d)(2)(iv), the following assessment shall continue to be included in the consolidated plan. For any of the income categories enumerated in paragraph (b)(1) of this section, to the extent that any racial or ethnic group has disproportionately greater need in comparison to the needs of that category as a whole, assessment of that specific need shall be included. For this purpose, disproportionately greater need exists when the percentage of persons in a category of need who are members of a particular racial or ethnic group in a category of need is at least 10 percentage points higher than the percentage of persons in the category as a whole. Once the jurisdiction has submitted an AFH, however, this assessment need not be included in the consolidated plan."</w:t>
      </w:r>
    </w:p>
    <w:p>
      <w:pPr>
        <w:jc w:val="left"/>
      </w:pPr>
      <w:r>
        <w:rPr>
          <w:b/>
          <w:bCs/>
          <w:i w:val="false"/>
          <w:iCs w:val="false"/>
        </w:rPr>
        <w:t xml:space="preserve">Show in Context</w:t>
      </w:r>
    </w:p>
    <w:p>
      <w:pPr>
        <w:jc w:val="left"/>
      </w:pPr>
      <w:r>
        <w:rPr>
          <w:b/>
          <w:bCs/>
          <w:i w:val="false"/>
          <w:iCs w:val="false"/>
        </w:rPr>
        <w:t xml:space="preserve">imron</w:t>
      </w:r>
      <w:r>
        <w:t xml:space="preserve"> Dated on 2020-01-07</w:t>
      </w:r>
    </w:p>
    <w:p>
      <w:pPr>
        <w:jc w:val="left"/>
      </w:pPr>
      <w:r>
        <w:drawing>
          <wp:inline distT="0" distB="0" distL="0" distR="0">
            <wp:extent cx="690563"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90563" cy="714375"/>
                    </a:xfrm>
                    <a:prstGeom prst="rect">
                      <a:avLst/>
                    </a:prstGeom>
                  </pic:spPr>
                </pic:pic>
              </a:graphicData>
            </a:graphic>
          </wp:inline>
        </w:drawing>
      </w:r>
    </w:p>
    <w:p>
      <w:pPr>
        <w:jc w:val="left"/>
      </w:pPr>
      <w:r>
        <w:t xml:space="preserve">Public on Pre-PubPropRule1-7-20.pdf.pdf</w:t>
      </w:r>
    </w:p>
    <w:p>
      <w:pPr>
        <w:jc w:val="left"/>
      </w:pPr>
      <w:r>
        <w:t xml:space="preserve">control</w:t>
      </w:r>
    </w:p>
    <w:p>
      <w:pPr>
        <w:jc w:val="left"/>
      </w:pPr>
      <w:r>
        <w:t xml:space="preserve">rent control is called out but not bans on construction/operation of rentals</w:t>
      </w:r>
    </w:p>
    <w:p>
      <w:pPr>
        <w:jc w:val="left"/>
      </w:pPr>
      <w:r>
        <w:rPr>
          <w:b/>
          <w:bCs/>
          <w:i w:val="false"/>
          <w:iCs w:val="false"/>
        </w:rPr>
        <w:t xml:space="preserve">Show in Context</w:t>
      </w:r>
    </w:p>
    <w:p>
      <w:pPr>
        <w:jc w:val="left"/>
      </w:pPr>
      <w:r>
        <w:rPr>
          <w:b/>
          <w:bCs/>
          <w:i w:val="false"/>
          <w:iCs w:val="false"/>
        </w:rPr>
        <w:t xml:space="preserve">imron</w:t>
      </w:r>
      <w:r>
        <w:t xml:space="preserve"> Dated on 2020-01-07</w:t>
      </w:r>
    </w:p>
    <w:p>
      <w:pPr>
        <w:jc w:val="left"/>
      </w:pPr>
      <w:r>
        <w:drawing>
          <wp:inline distT="0" distB="0" distL="0" distR="0">
            <wp:extent cx="690563"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90563" cy="714375"/>
                    </a:xfrm>
                    <a:prstGeom prst="rect">
                      <a:avLst/>
                    </a:prstGeom>
                  </pic:spPr>
                </pic:pic>
              </a:graphicData>
            </a:graphic>
          </wp:inline>
        </w:drawing>
      </w:r>
    </w:p>
    <w:p>
      <w:pPr>
        <w:jc w:val="left"/>
      </w:pPr>
      <w:r>
        <w:t xml:space="preserve">Public on Pre-PubPropRule1-7-20.pdf.pdf</w:t>
      </w:r>
    </w:p>
    <w:p>
      <w:pPr>
        <w:jc w:val="left"/>
      </w:pPr>
      <w:r>
        <w:t xml:space="preserve">o</w:t>
      </w:r>
    </w:p>
    <w:p>
      <w:pPr>
        <w:jc w:val="left"/>
      </w:pPr>
      <w:r>
        <w:t xml:space="preserve">removed all definitions</w:t>
      </w:r>
    </w:p>
    <w:p>
      <w:pPr>
        <w:jc w:val="left"/>
      </w:pPr>
      <w:r>
        <w:rPr>
          <w:b/>
          <w:bCs/>
          <w:i w:val="false"/>
          <w:iCs w:val="false"/>
        </w:rPr>
        <w:t xml:space="preserve">Show in Context</w:t>
      </w:r>
    </w:p>
    <w:p>
      <w:pPr>
        <w:jc w:val="left"/>
      </w:pPr>
      <w:r>
        <w:rPr>
          <w:b/>
          <w:bCs/>
          <w:i w:val="false"/>
          <w:iCs w:val="false"/>
        </w:rPr>
        <w:t xml:space="preserve">imron</w:t>
      </w:r>
      <w:r>
        <w:t xml:space="preserve"> Dated on 2020-01-07</w:t>
      </w:r>
    </w:p>
    <w:p>
      <w:pPr>
        <w:jc w:val="left"/>
      </w:pPr>
      <w:r>
        <w:drawing>
          <wp:inline distT="0" distB="0" distL="0" distR="0">
            <wp:extent cx="690563"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90563" cy="714375"/>
                    </a:xfrm>
                    <a:prstGeom prst="rect">
                      <a:avLst/>
                    </a:prstGeom>
                  </pic:spPr>
                </pic:pic>
              </a:graphicData>
            </a:graphic>
          </wp:inline>
        </w:drawing>
      </w:r>
    </w:p>
    <w:p>
      <w:pPr>
        <w:jc w:val="left"/>
      </w:pPr>
      <w:r>
        <w:t xml:space="preserve">Public on Pre-PubPropRule1-7-20.pdf.pdf</w:t>
      </w:r>
    </w:p>
    <w:p>
      <w:pPr>
        <w:jc w:val="left"/>
      </w:pPr>
      <w:r>
        <w:t xml:space="preserve">“second-guess which of two reasonable approaches”</w:t>
      </w:r>
    </w:p>
    <w:p>
      <w:pPr>
        <w:jc w:val="left"/>
      </w:pPr>
      <w:r>
        <w:t xml:space="preserve">...one of the factual questions left to the lower cts on remand. "“This case, on remand, may be seen simply as an attempt to second-guess which of two reasonable approaches a housing authority should follow in the sound exercise of its discretion in allocating tax credits for low-income housing. ” </w:t>
      </w:r>
      <w:r>
        <w:rPr>
          <w:b/>
          <w:bCs/>
          <w:i w:val="false"/>
          <w:iCs w:val="false"/>
        </w:rPr>
        <w:t xml:space="preserve">Tex. Dep't of Hous. &amp; Cmty. Affairs v. Inclusive Cmtys. Project, Inc.</w:t>
      </w:r>
      <w:r>
        <w:t xml:space="preserve">, 135 S. Ct. 2507, 2522 (2015)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259"/>
      </w:pPr>
    </w:lvl>
  </w:abstractNum>
  <w:abstractNum w:abstractNumId="3" w15:restartNumberingAfterBreak="0">
    <w:multiLevelType w:val="hybridMultilevel"/>
    <w:lvl w:ilvl="0" w15:tentative="1">
      <w:start w:val="1"/>
      <w:numFmt w:val="bullet"/>
      <w:lvlText w:val="•"/>
      <w:lvlJc w:val="start"/>
      <w:pPr>
        <w:ind w:left="72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r4mzvyojob5orm4x4hsf.png"/><Relationship Id="rId7" Type="http://schemas.openxmlformats.org/officeDocument/2006/relationships/image" Target="media/rv8tepjyzwa565ozlm8zo.png"/><Relationship Id="rId8" Type="http://schemas.openxmlformats.org/officeDocument/2006/relationships/image" Target="media/vefud2wobkx3ftyurmzmp.png"/><Relationship Id="rId9" Type="http://schemas.openxmlformats.org/officeDocument/2006/relationships/image" Target="media/jq5l7xmlpkrlpttjlmycy.png"/><Relationship Id="rId10" Type="http://schemas.openxmlformats.org/officeDocument/2006/relationships/image" Target="media/awvfcklanznjksd-scojp.png"/><Relationship Id="rId11" Type="http://schemas.openxmlformats.org/officeDocument/2006/relationships/image" Target="media/j54unr6xpus-bmk137kzx.png"/><Relationship Id="rId12" Type="http://schemas.openxmlformats.org/officeDocument/2006/relationships/image" Target="media/iut2x4gc3bvyczef25zsm.png"/><Relationship Id="rId13" Type="http://schemas.openxmlformats.org/officeDocument/2006/relationships/image" Target="media/uottnp9dathukph1ddblq.png"/><Relationship Id="rId14" Type="http://schemas.openxmlformats.org/officeDocument/2006/relationships/image" Target="media/mipn6y3gyp05yxea7lkn5.png"/><Relationship Id="rId15" Type="http://schemas.openxmlformats.org/officeDocument/2006/relationships/image" Target="media/epixs73c4jjw0m9ak58iw.png"/><Relationship Id="rId16" Type="http://schemas.openxmlformats.org/officeDocument/2006/relationships/image" Target="media/nqzoen-ooy4p2lx17i4hv.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2025-03-06T11:29:09.673Z</dcterms:created>
  <dcterms:modified xsi:type="dcterms:W3CDTF">2025-03-06T11:29:09.673Z</dcterms:modified>
</cp:coreProperties>
</file>

<file path=docProps/custom.xml><?xml version="1.0" encoding="utf-8"?>
<Properties xmlns="http://schemas.openxmlformats.org/officeDocument/2006/custom-properties" xmlns:vt="http://schemas.openxmlformats.org/officeDocument/2006/docPropsVTypes"/>
</file>