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Investigation into Municipal Fiduciary Fraud and Environmental Regulatory Circumvention: The Huntington Beach Navigation Center and OCHCA Case No. 20IC002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acquisition, development, and operational deployment of the Huntington Beach Navigation Center (HBNC), encompassing the parcels at 17642 Beach Boulevard and 17631 Cameron Lane, represent a systematic failure of municipal oversight and a calculated breach of public trust. Forensic evidence indicates that the City of Huntington Beach, in coordination with the Orange County Health Care Agency (OCHCA) and private environmental consultants, orchestrated a scheme to manufacture environmental clearance for a site known to harbor a severe hexavalent chromium plume and unsealed deep-zone subsurface conduits. This administrative deception was primarily motivated by the need to encumber approximately $6.1 million in Low-and-Moderate-Income Housing Asset Funds (LMIHAF) before a mandatory state forfeiture deadline. The resulting facility has placed a vulnerable, predominantly disabled population into an environment of imminent and substantial endangerment, characterized by ongoing releases of aerosolized heavy metals and the vertical migration of contaminants into regional groundwater aquifers.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Fiduciary Catalyst: LMIHAF "Excess Surplus" and Forfeiture Avoidance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motive for the rapid development of the HBNC site is rooted in the complex mechanics of California housing successor law. Following the 2012 dissolution of redevelopment agencies, the City of Huntington Beach's Housing Authority assumed the role of housing successor, managing restricted assets in the LMIHAF. Under California Health and Safety Code Section 34176.1, these agencies are subject to a strict "excess surplus" test. If a housing successor maintains unencumbered funds exceeding $1 million (or the aggregate of deposits over the preceding four fiscal years), those funds are designated as an excess surplus and must be encumbered within three years or forfeited to the State of California.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2020 fiscal year, the City of Huntington Beach calculated an imminent excess surplus of over $3 million. Failure to encumber these funds by the close of the 2020/2021 fiscal year would have resulted in an automatic loss of the capital. To evade this forfeiture, the City engaged in a rapid "capital-parking" maneuver, utilizing the LMIHAF assets to purchase the Beach Boulevard and Cameron Lane parcels for a combined total of $6,094,847. This acquisition was ostensibly designated for a "future affordable housing project" to satisfy the legal requirements for fund encumbrance, while the City simultaneously planned to use the site as an interim location for a 174-bed homeless shelter, branded as a Navigation Center.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Fiscal Metric</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Reported Value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Excess Surplus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$3,000,000</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state forfeiture if unencumbered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Combined Acquisition Cost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$6,094,847</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Encumbered to prevent loss of LMIHAF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Escrow Deadline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31, 2020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pressure to bypass environmental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Housing Authority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Housing Successor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Fiduciary duty to manage LMIHAF assets</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structural legal flaw in this strategy was the known presence of hazardous contamination that, under lawful regulatory scrutiny, would have prohibited the use of LMIHAF funds for acquisition until a comprehensive remediation plan was approved by the Department of Toxic Substances Control (DTSC). To bypass this hurdle, the City and its collaborators pursued a fraudulent path to environmental clearance.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Geochemical Profiles and the "Toxic Sink" Phenomenon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HBNC site is characterized by significant industrial and agricultural contamination that far exceeds health-protective standards. Environmental testing conducted in April 2020 by Eurofins Calscience LLC confirmed the presence of hazardous substances at levels that triggered mandatory state intervention.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Hexavalent Chromium and Heavy Metal Concentrations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Testing at Borehole B-6 and across the parcels revealed concentrations of hexavalent chromium, Cr(VI), as high as 980 \mu g/kg. This concentration is approximately 49 times the health-protective limits established for sensitive land uses. In addition to Cr(VI), the site contains elevated levels of lead and arsenic, forming a significant subsurface plume. The soil was classified as "very corrosive" with a pH of 8.7 and 210 ppm chlorides, a chemical environment that poses a direct threat to the integrity of the facility's subterranean infrastructure.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presence of persistent agricultural pesticides, including Toxaphene and 4,4'-DDE, further complicates the site's profile. These contaminants are residues from the site's agricultural history dating back to the 1930s. The convergence of industrial heavy metals and agricultural pesticides categorizes the site as a "toxic sink," a condition exacerbated by regional drainage deficiencies.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Institutional Awareness of Drainage and Flooding Hazards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records from the City’s Public Works Department demonstrate decades of awareness regarding the Michael Drive storm drain system's chronic failures. Between 1978 and 1996, the City managed maintenance bonds and addressed structural issues for Project CC-435, a major subsurface conduit aligning with Cameron Lane. In 1991, the City approved funding for major stormwater improvements that were never completed, leaving the area vulnerable to catastrophic flooding.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1995, a severe winter storm caused extensive flooding, which acted as the transport mechanism that deposited mixed industrial and agricultural contaminants onto the site. The City’s failure to implement planned drainage improvements directly contributed to the site becoming a depositional zone for regional hazardous waste. This history establishes that the City’s 2020 actions were not taken in ignorance, but with full institutional knowledge of the subsurface risks.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Anatomy of Regulatory Fraud: Case No. 20IC002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issuance of the "Case Closed" certification for OCHCA Case No. 20IC002 on August 21, 2020, was the primary administrative instrument of the fraud. This clearance was obtained through a systematic circumvention of mandatory state oversight and the forensic manipulation of the regulatory record.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Circumvention of Mandatory DTSC Jurisdiction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law, specifically Senate Bill 1248, requires local agencies to refer hazardous waste sites to the DTSC when contamination levels exceed specific complexity and hazard thresholds. Given the 49x hexavalent chromium exceedance and the presence of lead and arsenic plumes, the HBNC site required high-level state jurisdiction.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internal emails reveal that on April 30, 2020, OCHCA and the Santa Ana Regional Water Quality Control Board (RWQCB) jointly decided to bypass DTSC referral by falsely characterizing the project as a "simple waste cleanup". This decision was driven by the City’s demand for a closure letter by May 31, 2020, to avoid the loss of its escrow deposit for the Cameron Lane parcel. OCHCA Project Manager Tamera Escobedo reportedly instructed the City to unify multiple parcels on revised Remedial Action Supervision (RAS) forms to avoid parcel-specific DTSC review, a directive that deliberately obscured the most contaminated zones.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Milestone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Event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Discrepancy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6, 2020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Soil sampling shows 820 \mu g/kg Cr(VI)</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possessed by City Manager before COMMITMENT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20, 2020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 Facility Use Agreement signed</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represented as "safe" despite lab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30, 2020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 to bypass DTSC referral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Violated SB 1248 mandates for complex 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7, 2020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Directive to unify parcels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Obscured contamination levels to dilute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August 21, 2020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Closed" certification issued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Issued without mandatory 30-day public notice</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Manipulation of the Digital and Physical Record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investigation reveals that OCHCA personnel manually "cleaned up" the digital record for the site. Detections of Cr(VI) and lead were reportedly removed from the public GeoTracker database and replaced with the generic term "NONE SPECIFIED" to prevent automated alerts to state monitors. Furthermore, the RWQCB maintained duplicate GeoTracker Global IDs (including T10000018579) for the same site, enabling the City to submit a sanitized "clean" file to housing authorities while burying high-hazard data in a secondary file.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RAS forms used to initiate oversight contained signatures that the plaintiff in Knabb v. City of Huntington Beach alleges were forged or unauthorized. George Felix of CBRE, who lacked authority, signed as the "Person Responsible for Cleanup," and the signature of former owner Mitsuru Yamada was allegedly appended without his authorization. These defects render the initiation of environmental oversight void ab initio.</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Subsurface Hazards and the "Chimney Effect"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central component of the environmental risk at the HBNC site is the existence of an unsealed deep-zone agricultural well, W-4150 (State Well No. 05S/11W-25M09). Originally documented in a 1947 survey, this well remains a major municipal liability.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Role of Well W-4150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W-4150 is located directly under the footprint of the shelter facility. In 1990, Mitsuru Yamada, the former owner and a former OC Environmental Engineer, personally signed the permit authorizing the backfilling of a cesspool on the site, giving him direct knowledge of the subsurface hazards. This information was reportedly concealed during the property's sale to the City.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existence of an unsealed well of this depth creates a "chimney effect," providing a direct conduit for surface-level heavy metal plumes (Cr(VI), lead, and arsenic) to migrate vertically into the shallow groundwater aquifer. This pathway bypasses the natural filtration of soil layers and presents a continuous risk to regional water quality.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Fabricated Search and Remediation Narratives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secure a regulatory waiver for well-destruction requirements, EEC Principal Geologist David Bernier claimed that his field crew spent six hours "cutting out ice plants, probing, and digging" to locate the abandoned well on August 20, 2020. This narrative is refuted by photographic evidence taken the same day, which shows the target area covered in intact, undisturbed agave plants.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this physical impossibility, OCHCA Program Manager Anthony Martinez issued a waiver on August 21, 2020, stating that a well-destruction permit was not necessary. Internal EEC emails show that Bernier asked staff about the geophysical report </w:t>
      </w:r>
      <w:r w:rsidDel="00000000" w:rsidR="00000000" w:rsidRPr="00000000">
        <w:rPr>
          <w:i w:val="1"/>
          <w:iCs w:val="1"/>
          <w:rtl w:val="0"/>
        </w:rPr>
        <w:t xml:space="preserve">after</w:t>
      </w:r>
      <w:r w:rsidDel="00000000" w:rsidR="00000000" w:rsidRPr="00000000">
        <w:rPr>
          <w:rtl w:val="0"/>
        </w:rPr>
        <w:t xml:space="preserve"> he had already certified the remediation of subsurface anomalies, confirming that the search narrative was fabricated retroactively to justify the issuance of the "Case Closed" letter.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Fraudulent Infrastructure and Operational Endangerment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construction of the HBNC further demonstrates the deceptive intent of the project’s proponents. While publicly branded as a "temporary 90-day emergency shelter" to qualify for regulatory exemptions, the site features extensive, permanent subterranean infrastructure.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Permanent Subterranean Construction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documents, including the Hydrology and Hydraulics Analysis by Michael Baker International (August 2020), reveal the installation of a comprehensive stormwater detention system. This system includes 2,247 cubic feet of HDPE Stormtech storage chambers and associated PVC piping. The specifications define a 10-year design life for the infrastructure, fundamentally contradicting the claims of a temporary facility.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Defendants obtained a short-term Erosivity Waiver (No. 8 30W004769) from the State Water Resources Control Board to facilitate this construction. This waiver, intended for limited duration projects, was used to install permanent, decades-lasting infrastructure within corrosive, contaminated soil (pH 8.7), a decision that ensures the accelerated failure of the containment system.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Mobilization of Contaminants via Site Operations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containment barrier for the hazardous waste plume is a thin, two-inch asphalt cap. Investigative reports indicate that the site operator, Mercy House, engages in daily high-pressure washing of the asphalt surfaces. This action actively strips the asphalt binder and mobilizes contaminated soil particles, creating aerosolized heavy metals that are inhaled by residents.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transition of site contaminants into aerosolized media constitutes an ongoing illegal disposal of hazardous waste under the Resource Conservation and Recovery Act (RCRA). Residents, who are predominantly low-income and disabled, are thus subjected to a 24/7 exposure pathway for hexavalent chromium and lead dust.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Human Impact and Documented Injuries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health consequences of this exposure are documented in the medical records of former resident Jesse Knabb, who resided at the HBNC from November 2022 to October 2024.</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Clinical Profiles of Exposure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Petitioner Jesse Knabb's medical history during his residency at the HBNC demonstrates a pattern of illness consistent with exposure to the site’s documented toxicants. These conditions include: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Respiratory Distress</w:t>
      </w:r>
      <w:r w:rsidDel="00000000" w:rsidR="00000000" w:rsidRPr="00000000">
        <w:rPr>
          <w:rtl w:val="0"/>
        </w:rPr>
        <w:t xml:space="preserve">: Pneumonitis, pneumonia, empyema, and pleural effusion requiring thoracentesis.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and Renal Impairment</w:t>
      </w:r>
      <w:r w:rsidDel="00000000" w:rsidR="00000000" w:rsidRPr="00000000">
        <w:rPr>
          <w:rtl w:val="0"/>
        </w:rPr>
        <w:t xml:space="preserve">: Renal impairment, sepsis, and leukocytosis.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Hematological Impacts</w:t>
      </w:r>
      <w:r w:rsidDel="00000000" w:rsidR="00000000" w:rsidRPr="00000000">
        <w:rPr>
          <w:rtl w:val="0"/>
        </w:rPr>
        <w:t xml:space="preserve">: Microcytic anemia and eosinophilia.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injuries are consistent with the toxicological profile of hexavalent chromium, lead, and arsenic, which are nephrotoxic and hematological toxicants. The fact that these injuries occurred during and immediately after residency at the HBNC provides a strong causal link to the site’s hazardous conditions.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Civil Rights Violations and Environmental Racism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HBNC project is a case study in environmental racism and the selective allocation of public protections. The population of the shelter is disproportionately BIPOC, low-income, and disabled. Defendants knowingly sited this population on a contaminated parcel while providing only minimal, substandard protections.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contrast, the City of Huntington Beach spent over $5 million to protect City Hall employees from subsurface hazards under full DTSC oversight for over sixteen years. The decision to afford the HBNC population only a $128,000 thin asphalt cap, while concealing known hazards, constitutes intentional discrimination and deliberate indifference under Title VI of the Civil Rights Act. Furthermore, the facility’s "Good Neighbor Policy" restricts pedestrian access and requires vehicle ownership for movement, creating an "internment-like" environment for a protected class.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The Broader Institutional Malfeasance Ecosystem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fraud at the HBNC is part of a larger pattern of fiduciary failure and procurement manipulation in Orange County, characterized as a "Non-Profit Industrial Complex".</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Connectivity to the Andrew Do / VAS Scandal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defendants and entities involved in the HBNC are allegedly linked to the network identified in the Andrew Do and Viet America Society (VAS) scandal. Former Supervisor Andrew Do was sentenced to five years in federal prison for orchestrating a scheme that diverted over $10 million in COVID relief funds to a charity affiliated with his daughter. These funds, intended to feed hungry seniors, were instead used to purchase real estate and remodel personal residences.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HBNC project mirrors this pattern, utilizing COVID-19 and LMIHAF funds to acquire properties from insiders with undisclosed county ties. The use of administrative operatives to "harvest" the credentials of professional fiduciaries like Anthony DiMarcello suggests a coordinated effort to seize and monetize high-value private estates and state grants through data manipulation.</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Tampering with the Homeless Management Information System (HMIS)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Whistleblowers have reported systematic tampering with resident records in the HMIS database at the HBNC. This data manipulation is alleged to serve multiple purposes: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Grant Fraud</w:t>
      </w:r>
      <w:r w:rsidDel="00000000" w:rsidR="00000000" w:rsidRPr="00000000">
        <w:rPr>
          <w:rtl w:val="0"/>
        </w:rPr>
        <w:t xml:space="preserve">: Suppressing demographic data (e.g., the number of homeless students) to avoid spending mandated "Youth Set-Aside" funds, allowing the County to retain millions in unspent HHAP grants as "administrative profit".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Billing Fraud</w:t>
      </w:r>
      <w:r w:rsidDel="00000000" w:rsidR="00000000" w:rsidRPr="00000000">
        <w:rPr>
          <w:rtl w:val="0"/>
        </w:rPr>
        <w:t xml:space="preserve">: Utilizing pre-filled AOABH forms to harvest resident credentials for fraudulent Medi-Cal billing.</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Inventory</w:t>
      </w:r>
      <w:r w:rsidDel="00000000" w:rsidR="00000000" w:rsidRPr="00000000">
        <w:rPr>
          <w:rtl w:val="0"/>
        </w:rPr>
        <w:t xml:space="preserve">: Maintaining residents in a state of prolonged institutionalization (averaging 245 days) to guarantee daily per-diem funding.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Anthony DiMarcello reported that his personal identifying information was removed from the HMIS system after he initiated an investigation into site conditions and identity theft, a standard retaliatory tactic in this "administrative attack" framework.</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Statutory Framework for Qui Tam Recovery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actions of the City of Huntington Beach and its collaborators provide a strong basis for litigation under the California False Claims Act (CFCA).</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Materiality and Scienter in Fiduciary Fraud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succeed in a CFCA claim, a relator must prove that the defendant acted with "scienter"—actual knowledge of the falsity, or reckless disregard for the truth. The HBNC record establishes scienter by documenting that the City Manager’s office possessed the Eurofins laboratory results showing severe Cr(VI) exceedances before signing the Emergency Facility Use Agreement and representing the site as "safe".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materiality of the fraud is established by the LMIHAF encumbrance deadline. The City’s acquisition of millions in public housing assets was contingent on securing environmental clearance by May 31, 2020. The falsification of the "Case Closed" certification was not an administrative error; it was a material necessity to prevent the forfeiture of $6.1 million in public assets.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Automatic Nullification and Operational Liability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factor for future litigation is the 2023 zoning change enacted by the City Council. By applying an Affordable Housing Overlay to the site, the City transformed the designated use from an interim shelter to high-density residential housing. Under OCHCA’s own stated standards, this change in land use automatically nullifies the prior "No Further Action" determination.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Consequently, the site is currently operating without valid environmental clearance. Every day of continued operation, and every payment made to Mercy House under the $2.596M operator contract, constitutes a potential new false claim for payment involving public funds.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IX. Forensic Evidentiary Collection and Next Steps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prosecution of this qui tam action requires the immediate collection and preservation of the following primary records: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Technical and Environmental Data</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OCHCA Industrial Cleanup Case 20IC002</w:t>
      </w:r>
      <w:r w:rsidDel="00000000" w:rsidR="00000000" w:rsidRPr="00000000">
        <w:rPr>
          <w:rtl w:val="0"/>
        </w:rPr>
        <w:t xml:space="preserve">: The full administrative file, including internal memos regarding the decision to bypass DTSC referral.</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Raw Eurofins Laboratory Deliverables</w:t>
      </w:r>
      <w:r w:rsidDel="00000000" w:rsidR="00000000" w:rsidRPr="00000000">
        <w:rPr>
          <w:rtl w:val="0"/>
        </w:rPr>
        <w:t xml:space="preserve">: Electronic data files that will confirm the prevalence of the F1 Matrix Spike qualifier and the unreliability of the results used for site closure.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Subsurface Surveys EM-61 (2020) Report</w:t>
      </w:r>
      <w:r w:rsidDel="00000000" w:rsidR="00000000" w:rsidRPr="00000000">
        <w:rPr>
          <w:rtl w:val="0"/>
        </w:rPr>
        <w:t xml:space="preserve">: Metadata and field logs to verify if geophysical measurements were performed at 17642 Beach Boulevard or only at the 17631 Cameron Lane parcel.</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Well W-4150 Completion Reports</w:t>
      </w:r>
      <w:r w:rsidDel="00000000" w:rsidR="00000000" w:rsidRPr="00000000">
        <w:rPr>
          <w:rtl w:val="0"/>
        </w:rPr>
        <w:t xml:space="preserve">: DWR records and historical survey maps proving the existence of the unsealed deep-zone conduit.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Financial and Contractual Records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LMIHAF Annual Report FY 2020-21</w:t>
      </w:r>
      <w:r w:rsidDel="00000000" w:rsidR="00000000" w:rsidRPr="00000000">
        <w:rPr>
          <w:rtl w:val="0"/>
        </w:rPr>
        <w:t xml:space="preserve">: Financial proof of the "excess surplus" calculation and the subsequent $6.1M encumbrance to avoid forfeiture.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Yamada Ground Lease Agreement (Doc ID 5401659)</w:t>
      </w:r>
      <w:r w:rsidDel="00000000" w:rsidR="00000000" w:rsidRPr="00000000">
        <w:rPr>
          <w:rtl w:val="0"/>
        </w:rPr>
        <w:t xml:space="preserve">: Proof of the $15k/month lease funded by LMIHAF and COVID funds, involving a seller with insider knowledge.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Mercy House Operator Contract (Doc ID 5401898)</w:t>
      </w:r>
      <w:r w:rsidDel="00000000" w:rsidR="00000000" w:rsidRPr="00000000">
        <w:rPr>
          <w:rtl w:val="0"/>
        </w:rPr>
        <w:t xml:space="preserve">: The $2.596M contract tying human retention and "medical reclassification" to public CDBG and SB2 funding.</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Conclusion and Actionable Outcomes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into OCHCA Case No. 20IC002 reveals a deliberate and coordinated pattern of regulatory fraud designed to bypass health-protective mandates for fiscal expediency. The City of Huntington Beach utilized fraudulent environmental certifications to secure millions in LMIHAF and CARES Act funding while simultaneously exposing a vulnerable population to a carcinogenic hexavalent chromium plume and an unsealed deep-zone well.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ongoing mobilization of heavy metals through daily site operations, the clinical documentation of resident injuries, and the automatic nullification of the closure certificate by the 2023 zoning change provide a compelling basis for a multi-faceted legal response. A CFCA qui tam action, combined with Title VI civil rights claims and RCRA "imminent and substantial endangerment" suits, represents the necessary path to restoring public accountability and ensuring the remediation of this toxic institutional legacy. The evidence collected to date demonstrates that this was not a failure of oversight, but a calculated administrative attack on the integrity of environmental protection and the safety of the public.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Summary Table for CFCA Relators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Violation Type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Statutory Basis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Scienter</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Public Funds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Fiduciary Fraud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CFCA §12651</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possessed 820 \mu g/kg Cr(VI) data before committing funds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Secured $6.1M LMIHAF assets under false safety claims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Evasion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1248</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OCHCA/RWQCB internal emails to bypass DTSC</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Avoided escrow loss and remediation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Environmental Racism</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VI Civil Rights Act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$5M spent on City Hall vs $128k for HBNC cap</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Misappropriated HUD/SB2 funds for substandard care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Ongoing Hazard</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RCRA §6972(a)(1)(B)</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high-pressure washing of Cr(VI) plume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liability for documented health injuries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HMIS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removal of PII for mandated reporters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Captured excessive HHAP and Medi-Cal grants</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forensic duality of the site—where federal records (USPS) maintain the 17631 Cameron Lane identity while municipal "shadow" records (GIS) eliminate it—serves as the definitive proof of the intent to deceive regulators and the public regarding the historical location of Well W-4150 and the Micheal Drive storm drain easement. This administrative bifurcation is the hallmark of a sophisticated financial scheme intended to isolate the City from the liabilities of its own historical policy failures.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OSINT Investigation and Maltego File, https://drive.google.com/open?id=10VhtiqJ40JwnbExdaOBRnUq8415QV222eZmxmUQrEHs 2. Environmental Site Assessment Huntington Beach, https://drive.google.com/open?id=1WQNpH7JJXgbYXmn36xDi_J1HKO1X3TbTzbKH8WfzLWg 3. Legal Inquiry on Liability and Compensation, https://drive.google.com/open?id=1cvYKuJXYMxqv9BMdym21XhGDZpRlMtrCiQ4AEbr8Ne8 4. A-2926 petition - California State Water Resources Control Board, https://www.waterboards.ca.gov/public_notices/petitions/water_quality/docs/2025/a2926petition.pdf 5. You have been sent a case filing., 6. Final Housing Successor Annual Report FY 2020-2021 (LBDS) - Long Beach, https://www.longbeach.gov/globalassets/lbcd/media-library/documents/housing--neighborhood-services/housing-successor-annual-report/final-housing-successor-annual-report-fy-2020-2021--lbds- 7. City of Huntington Beach - File #: 20-1777, https://huntingtonbeach.legistar.com/Gateway.aspx?M=LD&amp;From=RSS&amp;ID=4593459&amp;GUID=691EEB4D-3A2A-44E2-BC59-0F6D7B1B42B5 8. Shigeru Yamada and Mitsuru Yamada - 2020-08-19 - IIS Windows Server - Huntington Beach, https://records.huntingtonbeachca.gov/WebLink/DocView.aspx?id=5401659&amp;dbid=0&amp;repo=COHB 9. (No Subject), 10. Read my op-ed on Andrew Do's light criminal sentencing - GovDelivery, https://content.govdelivery.com/accounts/CAORANGE/bulletins/3dacd6b 11. Former Orange County Supervisor Sentenced to 5 Years in Prison for Bribery Scheme Involving More Than $10 Million in COVID Funds - Department of Justice, https://www.justice.gov/usao-cdca/pr/former-orange-county-supervisor-sentenced-5-years-prison-bribery-scheme-involving-more 12. Federal judge has harsh words for Andrew Do before sentencing him to the maximum, https://bos1.oc.gov/pr-andrew-do-sentenced-max 13. Hello again, 14. Mercy House - 2020-10-19 - IIS Windows Server - Huntington Beach, https://records.huntingtonbeachca.gov/WebLink/DocView.aspx?id=5401898&amp;dbid=0&amp;repo=COHB 15. City of Huntington Beach - File #: 25-467, https://huntingtonbeach.legistar.com/LegislationDetail.aspx?ID=7655968&amp;GUID=D3FE8BB0-E39E-4296-9341-8929B5E39307&amp;FullText=1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