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Judicial Administration, Insolvency Protections, and Property Foreclosure Dynamics in the Orange County Superior Court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intersection of commercial property rights, federal bankruptcy protections, and state-level judicial administration represents a highly complex arena of California jurisprudence. Over the past two decades, the California court system has undergone a major structural transformation. This evolution is characterized by a shift toward standardized administrative procedures, therapeutic court models, and strict jurisdictional boundaries.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systemic changes are clearly visible in the litigation histories of local property disputes, which often involve complex maneuvers across state and federal venues. By analyzing these disputes alongside the broader administrative reforms of the California Rules of Court, this report evaluates how the state balances creditor remedies with debtor and consumer protections.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Studies in Asset Dispossession and Tenancy Jurisdictions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legal battles surrounding commercial properties in Orange County, California, illustrate the strategic options available to parties in high-stakes tenancy and possession disputes. These cases demonstrate how litigants navigate state and federal jurisdictions to protect their respective economic and possessory interests.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Property Acquisition, Zoning, and Unlawful Detainer Actions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 estate market in Orange County demands significant capital and involves complex municipal regulatory approvals. A prime example is the acquisition of the industrial facility at 2972 Century Place, Costa Mesa, California. Purchased for $5.6 million from Virginia Russell, this 11,322-square-foot industrial building is located in a General Industrial (MG) zoning district. The buyer, Project C, LLC, sought to establish a membership-based pottery studio and educational facility on the premises.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move forward with this project, the company had to navigate municipal land-use laws. It filed Zoning Application 22-29 with the City of Costa Mesa, requesting a Minor Conditional Use Permit to deviate from standard shared parking requirements due to the unique operational hours of the proposed art studio. At the same time, the underlying financial structure of the property involved trust deeds executed by previous owners, such as John Bral, under agreements with Citibank (West), FSB, highlighting the complex web of secured interests linked to the site.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possessory disputes arise between commercial landlords and occupants, California landlords typically rely on the state's summary eviction procedure: the unlawful detainer action. Project C, LLC initiated such a proceeding against the occupant, Dennis Durham, and several unnamed defendants in the Superior Court of the State of California for the County of Orange. Under Case No. 30-2022-01275772-CU-UD-CJC, the landlord sought to terminate the tenancy, recover possession of the Costa Mesa property, and claim $21,616.49 in unpaid rent, along with holdover damages and attorney fees.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or Case Number</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Parties Involved</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Asset or Property Address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Terms or Claims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 or Legal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Asset Acquisition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C, LLC (Buyer) &amp; Virginia Russell (Seller)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2972 Century Place, Costa Mesa, CA</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$5,600,000 purchase price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completed; property transferred to Project C, LLC.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Zoning Application 22-29</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C, LLC &amp; City of Costa Mesa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2972 Century Place, Suite A, Costa Mesa, CA</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Minor Conditional Use Permit request</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Filed to deviate from shared parking requirements for a pottery studio.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No. 30-2022-01275772-CU-UD-CJC</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C, LLC v. Dennis Durham, et al.</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2972 Century Place, Costa Mesa, CA</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$21,616.49 in unpaid rent and holdover damages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Initiated as a state unlawful detainer action; briefly removed to federal court.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No. 8:2022cv02056-FWS-DFM</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Dennis Durham (Removing Party) v. Project C, LLC</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2972 Century Place, Costa Mesa, CA</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Federal removal based on alleged federal question jurisdiction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Remanded </w:t>
            </w:r>
            <w:r w:rsidDel="00000000" w:rsidR="00000000" w:rsidRPr="00000000">
              <w:rPr>
                <w:i w:val="1"/>
                <w:iCs w:val="1"/>
                <w:rtl w:val="0"/>
              </w:rPr>
              <w:t xml:space="preserve">sua sponte</w:t>
            </w:r>
            <w:r w:rsidDel="00000000" w:rsidR="00000000" w:rsidRPr="00000000">
              <w:rPr>
                <w:rtl w:val="0"/>
              </w:rPr>
              <w:t xml:space="preserve"> to Orange County Superior Court on November 15, 2022.</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Jurisdictional Disputes and Federal Remand Orders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Faced with eviction in state court, Dennis Durham attempted to shift the legal venue to the federal court system. On November 9, 2022, Durham filed a Notice of Removal in the U.S. District Court for the Central District of California, creating Case No. 8:2022cv02056. This federal case was assigned to District Judge Fred W. Slaughter and Magistrate Judge Douglas F. McCormick. Along with the removal, Durham filed an application to proceed </w:t>
      </w:r>
      <w:r w:rsidDel="00000000" w:rsidR="00000000" w:rsidRPr="00000000">
        <w:rPr>
          <w:i w:val="1"/>
          <w:iCs w:val="1"/>
          <w:rtl w:val="0"/>
        </w:rPr>
        <w:t xml:space="preserve">in forma pauperis</w:t>
      </w:r>
      <w:r w:rsidDel="00000000" w:rsidR="00000000" w:rsidRPr="00000000">
        <w:rPr>
          <w:rtl w:val="0"/>
        </w:rPr>
        <w:t xml:space="preserve"> (IFP) to waive federal filing fees.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federal district court quickly assessed its jurisdictional authority. Under federal law, removal statutes are strictly construed against federal jurisdiction, placing the burden of establishing jurisdiction squarely on the removing party. On November 15, 2022, Judge Slaughter issued a </w:t>
      </w:r>
      <w:r w:rsidDel="00000000" w:rsidR="00000000" w:rsidRPr="00000000">
        <w:rPr>
          <w:i w:val="1"/>
          <w:iCs w:val="1"/>
          <w:rtl w:val="0"/>
        </w:rPr>
        <w:t xml:space="preserve">sua sponte</w:t>
      </w:r>
      <w:r w:rsidDel="00000000" w:rsidR="00000000" w:rsidRPr="00000000">
        <w:rPr>
          <w:rtl w:val="0"/>
        </w:rPr>
        <w:t xml:space="preserve"> order remanding the action back to the Orange County Superior Court and denying Durham’s IFP application as moot.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court's decision centered on the strict limits of federal subject matter jurisdiction. Under the "well-pleaded complaint rule," federal question jurisdiction under 28 U.S.C. § 1331 exists only when a federal issue appears on the face of the plaintiff’s original complaint. Project C, LLC’s complaint was a standard unlawful detainer action based entirely on California state law. Durham’s claim that the case involved federal issues was legally irrelevant; federal jurisdiction cannot be established by federal counterclaims or affirmative defenses raised in response to a state-law complaint.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Additionally, the court found no basis for diversity jurisdiction under 28 U.S.C. § 1332. Diversity jurisdiction requires complete diversity of citizenship and an amount in controversy exceeding $75,000. The record showed that both Project C, LLC and Dennis Durham were residents of Orange County, California, meaning there was no diversity of citizenship. Furthermore, the damages sought by the landlord were only $21,616.49, falling well below the federal threshold. Because subject matter jurisdiction cannot be waived, the federal court was required to remand the case to the Orange County Superior Court.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Bankruptcy Court Oversight and the Automatic Stay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halt the state court eviction after the federal remand, Dennis Durham filed a Chapter 7 bankruptcy petition in the Central District of California, docketed as Case No. 8:22-bk-11957 under Judge Scott Clarkson in Santa Ana. The bankruptcy filing triggered the automatic stay under 11 U.S.C. § 362, which temporarily stopped all collection actions, foreclosures, and evictions against the debtor's estate.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resume its state court eviction, Project C, LLC filed a Motion for Relief from the Automatic Stay on November 17, 2022. This motion argued that the debtor’s bankruptcy estate had no equity in the commercial property and that the landlord's interest was not adequately protected. Judge Clarkson scheduled the hearing for December 14, 2022, in Courtroom 5C of the Santa Ana courthouse.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matter was part of a busy stay-relief calendar that included several other unlawful detainer disputes, reflecting the widespread use of bankruptcy filings as a defensive tactic in tenancy actions.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Non-Judicial Foreclosure and Self-Storage Lien Sales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real property evictions require formal judicial proceedings, personal property is often subject to non-judicial foreclosure under possessory lien laws. These statutory processes allow creditors to liquidate assets without prior court approval, offering a faster remedy than traditional litigation.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is illustrated by the case of Anthony DiMarcello. He moved from Trenton, New Jersey—following the passing of his father, master plumber Anthony Michael DiMarcello Jr., in March 2008—and settled in Lake Forest, California. In April 2023, public notices in the Orange County </w:t>
      </w:r>
      <w:r w:rsidDel="00000000" w:rsidR="00000000" w:rsidRPr="00000000">
        <w:rPr>
          <w:i w:val="1"/>
          <w:iCs w:val="1"/>
          <w:rtl w:val="0"/>
        </w:rPr>
        <w:t xml:space="preserve">Daily Pilot</w:t>
      </w:r>
      <w:r w:rsidDel="00000000" w:rsidR="00000000" w:rsidRPr="00000000">
        <w:rPr>
          <w:rtl w:val="0"/>
        </w:rPr>
        <w:t xml:space="preserve"> indicated that DiMarcello’s stored personal property was subject to foreclosure. Under the California Self-Storage Facility Act, self-storage operators hold a possessory lien on stored goods for unpaid rent and fees.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satisfy this lien, the operator scheduled a public auction under Lien Sale LS #1120 at 999 E. Mission Rd, San Marcos, California, to liquidate DiMarcello’s household goods, furniture, and personal boxes.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Judicial Unlawful Detainer (e.g., Durham Case)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Non-Judicial Storage Lien Foreclosure (e.g., DiMarcello Case)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Property Type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Property (Commercial or Residential)</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 Property (Household goods, furniture, boxes)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Governing Statute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Code of Civil Procedure §§ 1161 et seq.</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Self-Storage Facility Act (Bus. &amp; Prof. Code §§ 21700 et seq.)</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Required Forum</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Superior Court (and federal bankruptcy if stayed)</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 enforcement; no initial court filing required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Insolvency Protections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to federal bankruptcy automatic stay (11 U.S.C. § 362)</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to automatic stay if bankruptcy is filed prior to the sale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Resolution Method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Judgment of Possession, followed by Sheriff-enforced eviction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auction of stored contents to satisfy outstanding debt</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two distinct legal tracks highlight a core administrative difference: real property possessory disputes require formal judicial intervention, whereas personal property storage disputes are typically resolved through private, statutory self-help remedies.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Administrative Evolution of Title 7 Legal Frameworks (2007 to Present)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Alongside these individual property disputes, the broader landscape of California's judicial administration has undergone significant structural updates. Since 2007, the Judicial Council of California has systematically reformed Title 7 of the California Rules of Court. These changes have modernized probate administration, standardized access to justice, and introduced specialized mental health courts.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Probate Fee Waiver Modernization and Cost Recovery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applying for fee waivers in probate, conservatorship, and guardianship cases was handled inconsistently across California's county courts. To address this, the Judicial Council reorganized and renumbered Title 7, effective January 1, 2007. This reorganization separated probate procedures and paved the way for more comprehensive statutory reforms.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2008, the Judicial Council sponsored legislation that replaced California Code Section 68511.3 with Government Code Sections 68630–68641, effective July 1, 2009. This new statutory framework established clear guidelines for applying for fee waivers and recovering court costs when a litigant's financial situation improved.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California Rule of Court 7.5, which implements these statutory mandates, fee waiver applications in protective proceedings must follow strict guidelines:</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Applicant and Petitioner Status:</w:t>
      </w:r>
      <w:r w:rsidDel="00000000" w:rsidR="00000000" w:rsidRPr="00000000">
        <w:rPr>
          <w:rtl w:val="0"/>
        </w:rPr>
        <w:t xml:space="preserve"> The ward or conservatee is designated as the "applicant," while the guardian or conservator is the "petitioner". Eligibility for the fee waiver is based entirely on the financial condition of the ward or conservatee, not the representative.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Evaluating the Duty of Support:</w:t>
      </w:r>
      <w:r w:rsidDel="00000000" w:rsidR="00000000" w:rsidRPr="00000000">
        <w:rPr>
          <w:rtl w:val="0"/>
        </w:rPr>
        <w:t xml:space="preserve"> The court must evaluate the financial resources of anyone with a legal duty to support the ward or conservatee, including parents or spouses. However, support from a parent or a divorced spouse is only considered if it has been formally ordered by a court, and the court must assess the likelihood of actually receiving those payments.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Court Investigation Assessments:</w:t>
      </w:r>
      <w:r w:rsidDel="00000000" w:rsidR="00000000" w:rsidRPr="00000000">
        <w:rPr>
          <w:rtl w:val="0"/>
        </w:rPr>
        <w:t xml:space="preserve"> Fee waiver protections also apply to court investigation assessments conducted under Probate Code Sections 1513.1 and 1851.5. This ensures that low-income families are not blocked from necessary protective services due to administrative costs.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 Recovery from Liquid Estates:</w:t>
      </w:r>
      <w:r w:rsidDel="00000000" w:rsidR="00000000" w:rsidRPr="00000000">
        <w:rPr>
          <w:rtl w:val="0"/>
        </w:rPr>
        <w:t xml:space="preserve"> If a conservatorship or guardianship estate gains financial liquidity during the proceedings, the court is authorized to collect previously waived fees from the estate. This recovery is permitted only if the court finds the estate can pay without sacrificing funds needed for basic care.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reforms balanced two competing goals: protecting access to justice for indigent individuals and ensuring the court system could recover operational costs from solvent estates.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Date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or Statute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Operational Objective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Impact on Litigants and Courts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January 1, 2007</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Reorganized Title 7 Rules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 probate practices across all California counties.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Reorganized and renumbered probate rules to establish a consistent procedural baseline.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July 1, 2009</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 Code §§ 68630–68641</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Codify uniform fee waiver eligibility criteria and recovery rules.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Established clear rules for evaluating indigent status and allowed courts to recover fees if an estate became solvent.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September 29, 2023</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Division 2, Chapter 2 (CARE Act Rules)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court-ordered behavioral health treatment plans.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a specialized, non-criminal civil court track to connect vulnerable individuals with county services.</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Therapeutic Jurisprudence and the CARE Act Framework</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recent years, the Judicial Council has expanded Title 7 beyond traditional probate matters. The original probate guidelines were designated as Division 1, and a new Division 2 was created to house "Mental Health Rules". This structural change allowed for the implementation of the Community Assistance, Recovery, and Empowerment (CARE) Act under Chapter 2 of Division 2. This specialized civil court program is designed to assist individuals with untreated schizophrenia-spectrum disorders.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CARE Act represents a major shift toward therapeutic jurisprudence, using court oversight to coordinate comprehensive mental health treatment and housing support:</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Diagnostic and Eligibility Criteria:</w:t>
      </w:r>
      <w:r w:rsidDel="00000000" w:rsidR="00000000" w:rsidRPr="00000000">
        <w:rPr>
          <w:rtl w:val="0"/>
        </w:rPr>
        <w:t xml:space="preserve"> To qualify for the program, a respondent must be an adult aged 18 or older with a diagnosed schizophrenia-spectrum or other psychotic disorder. The individual must be currently experiencing severe symptoms, clinically unstable, and unlikely to survive safely in the community without supervision.</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Petition and Evaluation Process:</w:t>
      </w:r>
      <w:r w:rsidDel="00000000" w:rsidR="00000000" w:rsidRPr="00000000">
        <w:rPr>
          <w:rtl w:val="0"/>
        </w:rPr>
        <w:t xml:space="preserve"> Qualified individuals—such as family members, co-residents, or behavioral health professionals—can petition the court to initiate proceedings. If the court finds by clear and convincing evidence that the respondent meets the criteria, it orders the county behavioral health agency to work with the respondent, their attorney, and a designated supporter to develop an individualized CARE plan.</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CARE Plan Services:</w:t>
      </w:r>
      <w:r w:rsidDel="00000000" w:rsidR="00000000" w:rsidRPr="00000000">
        <w:rPr>
          <w:rtl w:val="0"/>
        </w:rPr>
        <w:t xml:space="preserve"> An approved CARE plan is valid for up to one year and can include behavioral health treatment, stabilization medications, housing resources, and social services.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Judicial Oversight and Local Adaptations:</w:t>
      </w:r>
      <w:r w:rsidDel="00000000" w:rsidR="00000000" w:rsidRPr="00000000">
        <w:rPr>
          <w:rtl w:val="0"/>
        </w:rPr>
        <w:t xml:space="preserve"> The court conducts regular status hearings to monitor progress and ensure both the respondent and the county behavioral health agency comply with the plan.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statewide framework is implemented through local court rules, such as Riverside County's Title 7 policies. These local rules adapt the statewide guidelines to regional court structures and incorporate modern litigation practices, including remote appearances for non-evidentiary hearings.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Analytical Summary and Structural Outlook</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analysis of these individual property cases and structural court reforms reveals several key trends in California's civil and judicial systems. First, the strategic shift between state unlawful detainer actions, federal removals, and bankruptcy filings highlights the ongoing tactical struggle between property owners and distressed occupants. While federal courts strictly enforce jurisdictional boundaries to prevent the misuse of removal procedures, the federal bankruptcy stay remains a powerful tool for debtors. However, this relief is often temporary, as bankruptcy courts frequently grant stay-relief to secured creditors and landlords.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administrative evolution of Title 7 demonstrates a clear trend toward standardization and therapeutic intervention. By codifying fee waiver rules under the Government Code, the state has protected access to the courts for indigent individuals while establishing clear mechanisms to recover costs from solvent estates.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the introduction of the CARE Act represents a major expansion of the civil court system. By establishing specialized courtrooms to manage severe mental health and housing challenges, the California judiciary is increasingly taking on a collaborative role in public health. This transition reflects a broader effort to use the court system to address systemic social challenges, shaping the delivery of civil justice across the state.</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Red Hill Pullman Business Center Tops Q4 Sales at $13 Million, https://www.ocbj.com/news/red-hill-pullman-business-center-tops-q4-sales-at/ 2. Animal shelter is a dream realized in Newport Beach - Brightspotcdn, https://ca-times.brightspotcdn.com/ff/b0/bb633c044768aecdb467d0344ac8/may-26-2023-daily-pilot-e-newspaper.pdf 3. Project C, LLC v. Dennis Durham et al 8:2022cv02056 - Justia Dockets, https://dockets.justia.com/docket/california/cacdce/8:2022cv02056/867757 4. Project C, LLC v. Durham | 8:22-cv-02056-FWS-DFM | C.D. Cal. | Judgment - CaseMine, https://www.casemine.com/judgement/us/6375ba245de3705c400383c7 5. United States Bankruptcy Court Central District of California - CIAO Hearing Report, http://ecf-ciao.cacb.uscourts.gov/kioskPDF/SC_121422.pdf 6. Anthony DiMarcello Obituary (2008) - Trenton, NJ, https://obits.nj.com/us/obituaries/trenton/name/anthony-dimarcello-obituary?id=13498379 7. Mallard, shot by arrow, gets second chance at life - Brightspotcdn, https://ca-times.brightspotcdn.com/c2/fe/55d1b2674cf2be183e93fa7bbf7a/april-29-2023-daily-pilot-e-newspaper.pdf 8. 1 Title 7. Probate Rules and Mental Health Rules Division 1. Probate Rules Chapter 1. General Provisions Rule 7.1. Probate r - California Courts, https://courts.ca.gov/system/files?file=rules-court/roc-title-7.pdf 9. REPORT TO THE JUDICIAL COUNCIL - California Courts - CA.gov, https://courts.ca.gov/sites/default/files/courts/default/2024-10/jc-20150728-itema2.pdf 10. judicial council of california, https://courts.ca.gov/system/files?file=itc/w23-10.pdf 11. CARE Act Program - Ventura County Behavioral Health, https://hca.venturacounty.gov/behavioral-health/welcome-to-the-care-act-program/ 12. TITLE 7 PROBATE TABLE OF CONTENTS DIVISION 1 GENERAL PROVISIONS (a) GENERAL PROCEDURE AND POLICY RULE 7000 APPLICATION OF RULES - Riverside Superior Court, https://www.riverside.courts.ca.gov/system/files/title7.pdf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