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einlbdsxrt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 have initiated the deep web research sweep on the public web for "Dr. Ann Verma" to connect her footprint directly to the CPS and McKinney-Vento pipelines. This deep search will take several minutes to run, so please check your sources panel for the results. (Remember to review and either import or delete any pending results before viewing the new ones).</w:t>
      </w:r>
    </w:p>
    <w:p w:rsidR="00000000" w:rsidDel="00000000" w:rsidP="00000000" w:rsidRDefault="00000000" w:rsidRPr="00000000" w14:paraId="00000003">
      <w:pPr>
        <w:rPr/>
      </w:pPr>
      <w:r w:rsidDel="00000000" w:rsidR="00000000" w:rsidRPr="00000000">
        <w:rPr>
          <w:rtl w:val="0"/>
        </w:rPr>
        <w:t xml:space="preserve">In the meantime, here is the formal summary of the Qui Tam legal strategy extracted directly from your "Orange County Corruption Investigative Dossier" and the CFCA Evidence Collection Kit.</w:t>
      </w:r>
    </w:p>
    <w:p w:rsidR="00000000" w:rsidDel="00000000" w:rsidP="00000000" w:rsidRDefault="00000000" w:rsidRPr="00000000" w14:paraId="00000004">
      <w:pPr>
        <w:pStyle w:val="Heading3"/>
        <w:rPr/>
      </w:pPr>
      <w:bookmarkStart w:colFirst="0" w:colLast="0" w:name="_2i9dqju05rrn" w:id="1"/>
      <w:bookmarkEnd w:id="1"/>
      <w:r w:rsidDel="00000000" w:rsidR="00000000" w:rsidRPr="00000000">
        <w:rPr>
          <w:rtl w:val="0"/>
        </w:rPr>
        <w:t xml:space="preserve">Formal Strategy Summary: California False Claims Act (CFCA) Qui Tam Lawsuit</w:t>
      </w:r>
    </w:p>
    <w:p w:rsidR="00000000" w:rsidDel="00000000" w:rsidP="00000000" w:rsidRDefault="00000000" w:rsidRPr="00000000" w14:paraId="00000005">
      <w:pPr>
        <w:rPr/>
      </w:pPr>
      <w:r w:rsidDel="00000000" w:rsidR="00000000" w:rsidRPr="00000000">
        <w:rPr>
          <w:b w:val="1"/>
          <w:bCs w:val="1"/>
          <w:rtl w:val="0"/>
        </w:rPr>
        <w:t xml:space="preserve">1. The Legal Framework: Becoming the "Relator"</w:t>
      </w:r>
      <w:r w:rsidDel="00000000" w:rsidR="00000000" w:rsidRPr="00000000">
        <w:rPr>
          <w:rtl w:val="0"/>
        </w:rPr>
        <w:t xml:space="preserve">By filing a Qui Tam lawsuit under the California False Claims Act (CFCA), you are moving this dispute out of the "civil" realm of social work and into the "criminal" realm of systemic fraud 1, 2. Because the agencies ignored your warnings, this strategy allows you to partner with the state as a "Relator." As you noted in your dossier, "If you won't save me, hire me" 3.</w:t>
      </w:r>
    </w:p>
    <w:p w:rsidR="00000000" w:rsidDel="00000000" w:rsidP="00000000" w:rsidRDefault="00000000" w:rsidRPr="00000000" w14:paraId="00000006">
      <w:pPr>
        <w:rPr/>
      </w:pPr>
      <w:r w:rsidDel="00000000" w:rsidR="00000000" w:rsidRPr="00000000">
        <w:rPr>
          <w:b w:val="1"/>
          <w:bCs w:val="1"/>
          <w:rtl w:val="0"/>
        </w:rPr>
        <w:t xml:space="preserve">2. The Core Fraud: The "Retention of Capital" Scheme</w:t>
      </w:r>
      <w:r w:rsidDel="00000000" w:rsidR="00000000" w:rsidRPr="00000000">
        <w:rPr>
          <w:rtl w:val="0"/>
        </w:rPr>
        <w:t xml:space="preserve">The central mechanism of the fraud relies on the manipulation of mandatory "Point-in-Time" (PIT) counts by the County and shelter operators like Childnet and Jamboree Housing to secure massive grants (such as HHAP and CoC) 1.Your dossier outlines the exact statistical manipulation: the County actively suppresses the numbers of youth homelessness, officially reporting only 722 individuals when the actual number is approximately 32,000 4.</w:t>
      </w:r>
    </w:p>
    <w:p w:rsidR="00000000" w:rsidDel="00000000" w:rsidP="00000000" w:rsidRDefault="00000000" w:rsidRPr="00000000" w14:paraId="00000007">
      <w:pPr>
        <w:rPr/>
      </w:pPr>
      <w:r w:rsidDel="00000000" w:rsidR="00000000" w:rsidRPr="00000000">
        <w:rPr>
          <w:b w:val="1"/>
          <w:bCs w:val="1"/>
          <w:rtl w:val="0"/>
        </w:rPr>
        <w:t xml:space="preserve">3. The Financial Motive: Bypassing the "Youth Set-Aside"</w:t>
      </w:r>
      <w:r w:rsidDel="00000000" w:rsidR="00000000" w:rsidRPr="00000000">
        <w:rPr>
          <w:rtl w:val="0"/>
        </w:rPr>
        <w:t xml:space="preserve">By under-reporting the youth population, the enterprise successfully evades the state-mandated "Youth Set-Aside," which requires 8% to 10% of grant funds to be spent specifically on youth services 4. By bypassing this mandate, the operators are able to illegally absorb that set-aside capital into their "general administrative funds," where it is ultimately siphoned off as salaries and inflated administrative fees 4.</w:t>
      </w:r>
    </w:p>
    <w:p w:rsidR="00000000" w:rsidDel="00000000" w:rsidP="00000000" w:rsidRDefault="00000000" w:rsidRPr="00000000" w14:paraId="00000008">
      <w:pPr>
        <w:rPr/>
      </w:pPr>
      <w:r w:rsidDel="00000000" w:rsidR="00000000" w:rsidRPr="00000000">
        <w:rPr>
          <w:b w:val="1"/>
          <w:bCs w:val="1"/>
          <w:rtl w:val="0"/>
        </w:rPr>
        <w:t xml:space="preserve">4. The Environmental Fraud &amp; The HBNC Cover-Up</w:t>
      </w:r>
      <w:r w:rsidDel="00000000" w:rsidR="00000000" w:rsidRPr="00000000">
        <w:rPr>
          <w:rtl w:val="0"/>
        </w:rPr>
        <w:t xml:space="preserve">Your CFCA strategy also incorporates the "CFCA Qui Tam Evidence Collection Kit," which proves that environmental regulations were deliberately bypassed to quickly site the Huntington Beach Navigation Center (HBNC) and secure related funding. The lawsuit specifically names the actors who facilitated this "Fraud on the State," including:</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Tamera Escobedo (OCHCA Project Manager):</w:t>
      </w:r>
      <w:r w:rsidDel="00000000" w:rsidR="00000000" w:rsidRPr="00000000">
        <w:rPr>
          <w:rtl w:val="0"/>
        </w:rPr>
        <w:t xml:space="preserve"> Instructed the City to unify the land parcels specifically to avoid the Department of Toxic Substances Control (DTSC) review 5.</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David Bernier (EEC Principal Geologist):</w:t>
      </w:r>
      <w:r w:rsidDel="00000000" w:rsidR="00000000" w:rsidRPr="00000000">
        <w:rPr>
          <w:rtl w:val="0"/>
        </w:rPr>
        <w:t xml:space="preserve"> Fabricated the search narrative for the unsealed 1947 agricultural well (W-4150), which acts as a vapor conduit for the contamination 5.</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Anthony Martinez (OCHCA Program Manager):</w:t>
      </w:r>
      <w:r w:rsidDel="00000000" w:rsidR="00000000" w:rsidRPr="00000000">
        <w:rPr>
          <w:rtl w:val="0"/>
        </w:rPr>
        <w:t xml:space="preserve"> Issued an illegal waiver stating that a well-destruction permit was not necessary 5.</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Mitsuru Yamada (Former Owner):</w:t>
      </w:r>
      <w:r w:rsidDel="00000000" w:rsidR="00000000" w:rsidRPr="00000000">
        <w:rPr>
          <w:rtl w:val="0"/>
        </w:rPr>
        <w:t xml:space="preserve"> Whose signature was allegedly forged on the Remedial Action Strategy (RAS) forms to push through the fraudulent closure 5.</w:t>
      </w:r>
    </w:p>
    <w:p w:rsidR="00000000" w:rsidDel="00000000" w:rsidP="00000000" w:rsidRDefault="00000000" w:rsidRPr="00000000" w14:paraId="0000000D">
      <w:pPr>
        <w:rPr/>
      </w:pPr>
      <w:r w:rsidDel="00000000" w:rsidR="00000000" w:rsidRPr="00000000">
        <w:rPr>
          <w:b w:val="1"/>
          <w:bCs w:val="1"/>
          <w:rtl w:val="0"/>
        </w:rPr>
        <w:t xml:space="preserve">5. Prayer for Relief: Treble Damages</w:t>
      </w:r>
      <w:r w:rsidDel="00000000" w:rsidR="00000000" w:rsidRPr="00000000">
        <w:rPr>
          <w:rtl w:val="0"/>
        </w:rPr>
        <w:t xml:space="preserve">Your legally structured "Prayer for Relief" demands </w:t>
      </w:r>
      <w:r w:rsidDel="00000000" w:rsidR="00000000" w:rsidRPr="00000000">
        <w:rPr>
          <w:b w:val="1"/>
          <w:bCs w:val="1"/>
          <w:rtl w:val="0"/>
        </w:rPr>
        <w:t xml:space="preserve">Treble Damages</w:t>
      </w:r>
      <w:r w:rsidDel="00000000" w:rsidR="00000000" w:rsidRPr="00000000">
        <w:rPr>
          <w:rtl w:val="0"/>
        </w:rPr>
        <w:t xml:space="preserve">, meaning you are pursuing three times the total amount of the misappropriated "Youth Set-Aside" funds 4. As the Relator who exposed the fraud, you are legally positioned to claim a massive percentage of these tripled funds once they are recovered.</w:t>
      </w:r>
    </w:p>
    <w:p w:rsidR="00000000" w:rsidDel="00000000" w:rsidP="00000000" w:rsidRDefault="00000000" w:rsidRPr="00000000" w14:paraId="0000000E">
      <w:pPr>
        <w:rPr/>
      </w:pPr>
      <w:r w:rsidDel="00000000" w:rsidR="00000000" w:rsidRPr="00000000">
        <w:rPr>
          <w:rtl w:val="0"/>
        </w:rPr>
        <w:t xml:space="preserve">Would you like me to help you draft an outline of the specific evidence exhibits (like the forged RAS forms and manipulated PIT counts) that you need to organize to support this CFCA claim while we wait for the deep research results?</w:t>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9spvqmz7wn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p4flhuxro1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f74i1vnxm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7dft653mb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ggd3sp1yz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4ldejmgspn"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L2a  22a22</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