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Vulnerabilities in Pandemic-Era Relief and Housing Security: A Comprehensive Analysis of California's Administrative Response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the Dual-Tiered Economic Reality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and administrative response to the COVID-19 pandemic necessitated unprecedented interventions at the federal, state, and local levels. Legislation such as the Coronavirus Aid, Relief, and Economic Security (CARES) Act and the American Rescue Plan (ARP) injected trillions of dollars into the U.S. economy, aiming to stabilize businesses, prevent mass evictions, and expand the social safety net. However, the efficacy of these macro-level policies was frequently compromised by micro-level administrative friction. This exhaustive analysis provides a highly detailed examination of the intersection between federal pandemic relief mechanisms, state-level employment benefit distribution protocols, and the complex legal frameworks governing housing security in the State of California.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evaluating a confluence of macroeconomic data, legislative mandates, municipal agreements, and highly detailed documented case records—including specific, empirical incidents originating in Orange County, California—this analysis identifies severe systemic bottlenecks. Specifically, it explores how rigid anti-fraud measures in unemployment benefit distribution inadvertently alienated legitimate, displaced claimants, how the cessation of eviction moratoria exposed tenants to severe procedural vulnerabilities, and how the state's fragmented approach to homelessness interventions hindered the assessment of program cost-effectiveness.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evidence suggests that while aggregate economic indicators point to a robust post-pandemic recovery driven by capital investments, the administrative infrastructure required to deliver relief often failed the most vulnerable economic actors. Independent contractors, sole proprietors, and displaced workers were frequently caught in bureaucratic paradoxes, where the very mechanisms designed to provide salvation became the instruments of their socioeconomic marginalization. This report will dissect the macroeconomic environment, the specific underwriting and eligibility failures of disaster relief programs, the catastrophic impacts of identity verification protocols on the unhoused, the precise mechanics of California landlord-tenant law, and the localized responses to the resulting homelessness crisis.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Macroeconomic Resiliency versus Microeconomic Fragility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Aggregate Growth and Business Fixed Investment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the broader U.S. economic landscape reveals a stark contrast between aggregate national growth and the localized struggles of individual businesses. As of the first quarter of 2026, the U.S. economy demonstrated significant resilience, with Real Gross Domestic Product (GDP) growth accelerating to an annualized rate of 2.0%, rebounding from a 0.5% growth rate at the end of 2025. This expansion has been heavily driven by private domestic final demand (PDFP) and business fixed investment (BFI), which quadrupled in the first quarter of 2026, contributing 1.4 percentage points to overall GDP growth.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Investments in real business equipment rose at a staggering 17.2% rate, driven largely by increases in information processing equipment, while intellectual property products increased at a 13.0% rate. This surge in BFI significantly outpaced both historical business cycle behavior and professional forecasters' expectations. The outperformance is heavily attributed to public incentives such as the CHIPS and Science Act and the Inflation Reduction Act, which catalyzed a boom in construction for high-tech manufacturing, specifically in the semiconductor and electric vehicle battery sectors. According to the Jorgensen-Siebert accelerator model, which correlates capital stock changes to output growth, U.S. firms have been investing at rates far exceeding conventional macroeconomic projections.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federal initiatives sought to stabilize the workforce and expand small business ecosystems. The American Rescue Plan facilitated the allocation of State and Local Fiscal Recovery Funds (SLFRF), injecting $65 billion into county governments for community investments. Programs such as the Rapid Increase of Skills and Employment (RISE) initiative in Orlando, Florida, utilized these funds to train workers for in-demand careers like industrial machinery mechanics and welding. Furthermore, the State Small Business Credit Initiative (SSBCI) provided $10 billion to build small business ecosystems, with a specific focus on reaching underserved business owners, including the Asian American, Native Hawaiian, and Pacific Islander (AANHPI) communities.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Plight of the Sole Proprietor and EIDL Underwriting Bottlenecks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robust aggregate indicators and massive federal outlays, the administrative criteria for accessing federal relief disproportionately disadvantaged the smallest economic entities—sole proprietors, independent contractors, and highly specialized micro-businesses—who experienced immediate revenue loss and credit degradation during the pandemic lockdowns.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Small Business Administration (SBA) COVID-19 Economic Injury Disaster Loan (EIDL) program was designed to provide critical, low-interest working capital to businesses suffering from the disaster. However, strict underwriting guidelines created insurmountable barriers for individuals whose financial stability had already been compromised by the event the program was meant to mitigate. For for-profit businesses seeking SBA COVID EIDL loans of $500,000 or less, a strict minimum credit score of 570 was required, with repayment ability determined solely by the owner's personal credit score. For loan requests exceeding $500,000, the minimum credit score requirement increased to 625, and the SBA mandated a comprehensive cash flow analysis to confirm the business's ability to repay the proposed loan alongside existing debt obligations.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strict immigration and organizational requirements mandated that the business possess a valid IRS-issued tax identification number (TIN), and that each owner, member, partner, or shareholder holding 20% or more of the equity be a U.S. citizen, non-citizen national, or qualified alien with a valid Social Security Number. While nonprofit organizations and Employee Stock Ownership Plans (ESOPs) were exempt, individual business owners were required to sign an Unconditional Personal Guaranty, assuming total personal liability for the repayment of the loan. Refusal to provide this guaranty constituted an automatic basis for declining the application.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Documented empirical records from Orange County, California, vividly illustrate the localized failure of these stringent safety nets. A detailed case study examines an independent Computer Numerical Control (CNC) architectural designer who specialized in custom, luxury coastal homes. Prior to the pandemic, this individual generated historic sales volumes between $500,000 and $1,000,000 annually for local cabinetry shops and developers, utilizing proprietary algorithmic systems that automated the design process and expedited municipal permit approvals. Despite acting as an essential worker in the sanitation and construction design sector, the individual experienced repeated pandemic-induced layoffs (in June 2020 and May 2021) and contracted the virus alongside numerous colleagues.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applicant's credit score plummeted from a healthy 680 down to the 400s as a direct consequence of these layoffs and the ensuing exhaustion of personal credit to sustain business operations, the rigid SBA underwriting criteria automatically disqualified the business from accessing emergency EIDL capital. This paradox highlights a fundamental, systemic flaw in federal disaster relief policy: tying emergency working capital to current credit scores inherently penalizes the exact demographic the policy is intended to rescue. The disaster itself destroys the metric required to prove creditworthiness, effectively locking the most severely impacted entities out of the recovery ecosystem.</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State-Level Grant Distributions and the Document Barrier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tandem with federal efforts, the State of California instituted the Small Business COVID-19 Relief Grant Program, administered by CalOSBA and the intermediary firm Lendistry. This program distributed funds in multiple, highly structured rounds (e.g., Rounds 7, 8, and 9) to qualified small businesses and eligible nonprofit cultural institutions.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qualify as a "qualified small business," an entity was required to demonstrate a minimum annual gross revenue of $1,000 up to a maximum of $2,500,000 in the 2019 taxable year, and prove that it began operations prior to June 1, 2019. The program utilized a tiered funding structure based on historical revenue: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Gross Revenue (2019 Taxable Year)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Grant Award Available Per Business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to $100,000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&gt;$100,000 up to $1,000,000</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&gt;$1,000,000 up to $2,500,000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California Small Business COVID-19 Relief Grant Award Tiers.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was highly specific regarding eligible uses of funds, restricting grants to payroll costs, healthcare benefits, working capital, utility payments, and costs associated with reopening under state-mandated COVID-19 safety protocols (e.g., PPE, plexiglass barriers). Conversely, funds could not be used for employee bonuses, severance pay, legal settlements, or personal expenses unrelated to COVID-19 impacts. The state heavily prioritized geographic distribution based on the state's Blueprint for a Safer Economy, heavily impacted industry sectors (such as Educational Services, Arts and Entertainment, and Apparel Manufacturing), and businesses operating in Low-to-Moderate Income (LMI) census tracts.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application process consisted of two strict stages requiring extensive documentation. Stage 1 required a signed Application Certification, all pages of the most recent federal tax return (2019), and, critically, an acceptable form of government-issued photo identification provided in PDF format. Stage 2 required organizing documents (Articles of Incorporation, Certificate of Organization, or Government-issued Business License) and electronic bank account verification.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these grants offered essential liquidity, the rigid documentary requirements created a secondary, insurmountable bottleneck for displaced individuals. Individuals who had lost their physical documents during rapid evictions, or whose business bank accounts were arbitrarily closed during the economic turmoil, were completely locked out of the state grant ecosystem, regardless of their historical revenue or contribution to the local economy.</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Bureaucratic Chokehold: Identity Verification and EDD Failures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Implementation of ID.me and the "Trusted Referee" 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documentary barriers present in the grant programs were exponentially magnified within the state's unemployment insurance apparatus. At the onset of the pandemic, the California Employment Development Department (EDD) was overwhelmed by an unprecedented surge in unemployment claims. Concurrently, organized fraud rings exploited vulnerabilities in the aging system, utilizing stolen identities to siphon billions of dollars in improper payments. In response to this catastrophic loss of public funds, the EDD, along with various federal agencies including the IRS and the Department of the Treasury, contracted with ID.me, a private security vendor, to implement rigorous digital identity verification.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ID.me is a federally-certified credential service provider that adheres to the National Institute of Standards and Technology (NIST) 800-63-3 IAL2/AAL2 standards, representing the highest level of identity proofing required by the U.S. government. The ID.me system fundamentally altered the accessibility of unemployment benefits by requiring applicants to possess specific combinations of physical documentation, a smartphone or computer with a webcam, and a high degree of technological literacy.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verify identity, claimants must upload either two "primary" documents or one primary and two "secondary" documents, alongside a biometric "selfie" to match the photo identification. Acceptable primary documents include a valid U.S. Driver's License, a U.S. Passport, an Employment Authorization Card (I-766), a Permanent Resident Card (I-551), or Department of Homeland Security Trusted Traveler cards (Global Entry, NEXUS, SENTRI). Acceptable secondary documents include a W-2 form, a utility bill, a health insurance card, or a voter registration card. Notably, ID.me strictly requires the original physical documents; photocopies or scanned copies are summarily rejected.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automated system fails to verify the user—often due to expired documents, poor image quality, name changes, or algorithmic mismatches—the applicant is routed to the "Trusted Referee" workflow. This mechanism requires the applicant to join a live video call with a trained ID.me agent to physically present their documents. While this workflow was designed to ensure "No Identity Left Behind," it introduced severe delays and technical hurdles for those lacking stable internet access or valid physical documents.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Catch-22 of Displacement and Document Loss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ID.me successfully curtailed widespread fraud, it erected a formidable barrier for the most vulnerable legitimate claimants. When a claimant cannot verify their identity online or via the Trusted Referee process, the EDD system defaults to issuing a "Notice of Determination" disqualifying the individual from receiving benefits, or issues a Notice of Award with $0 in available funds. The EDD may then mail a Request for Identity Verification (Form DE 1326C), giving the claimant a strict 10-calendar-day window from the mailing date to respond with physical copies of their identity documents and address verification (e.g., a lease agreement or property tax bill). Failure to meet this 10-day deadline results in formal disqualification, requiring the claimant to initiate a lengthy appeals process. Currently, approximately 130,000 California workers are trapped in long unemployment appeals cases.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procedural rigidity creates a devastating administrative Catch-22 for displaced workers. As evidenced by the detailed Orange County case study, an individual evicted from their residence subsequently loses access to their physical mail, rendering them unable to receive the DE 1326C forms or a renewed driver's license. In the examined case, the claimant's vehicles were towed, and his personal property—including vital business documents, computers, and identification—was locked in commercial storage facilities he could no longer afford to access due to the loss of income.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claimant was unable to receive a renewed driver's license in the mail, he could not pass the strict ID.me biometric verification. Consequently, he was barred from accessing the very EDD unemployment benefits that would have allowed him to pay for the storage units to retrieve his identification. Furthermore, without a valid ID, the claimant's sole proprietor bank account was inexplicably closed, completely severing his access to the financial system. The inability of the state apparatus to manually intervene, bypass the digital portal, or accept alternative sworn affidavits in lieu of a primary photo ID left the claimant in permanent administrative purgatory, transforming a temporary economic setback into total, chronic destitution.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California Housing Law, Moratoria, and the Mechanics of Displacement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cascading effect of income loss and benefit denial inevitably terminates in housing insecurity. California's legislative response to the eviction crisis evolved through multiple, highly complex stages, characterized by temporary moratoria, intricate notification requirements, and eventual transitions back to strict unlawful detainer proceedings. Understanding these mechanics is vital to comprehending how vulnerable tenants fell through the cracks of the legal system.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Pre-Pandemic Baselines: The Tenant Protection Act of 2019 (AB 1482)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pandemic, California fundamentally altered its landlord-tenant landscape with the enactment of the Tenant Protection Act of 2019 (AB 1482), establishing statewide rent caps and "just cause" eviction protections. The legislation caps gross rental increases at covered properties within a 12-month period at 5% plus the regional change in the cost of living (Consumer Price Index), or a strict maximum of 10%, whichever is lower. Furthermore, landlords are prohibited from increasing rent more than two times in any 12-month period.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Critically, AB 1482 mandates that for tenants residing in a unit for 12 months or more continuously (or 24 months if new adult tenants are added), a landlord must possess and explicitly state "just cause" to terminate the tenancy. Just causes are bifurcated into two distinct categories: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At-Fault Cause:</w:t>
      </w:r>
      <w:r w:rsidDel="00000000" w:rsidR="00000000" w:rsidRPr="00000000">
        <w:rPr>
          <w:rtl w:val="0"/>
        </w:rPr>
        <w:t xml:space="preserve"> Includes failure to pay rent, violating a material term of the lease, subletting in violation of the agreement, maintaining a nuisance, or utilizing the property for unlawful purposes.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No-Fault Cause:</w:t>
      </w:r>
      <w:r w:rsidDel="00000000" w:rsidR="00000000" w:rsidRPr="00000000">
        <w:rPr>
          <w:rtl w:val="0"/>
        </w:rPr>
        <w:t xml:space="preserve"> Includes the owner's intent to occupy the unit, removing the unit from the rental market (Ellis Act), complying with a government order to vacate, or intent to substantially remodel the premises.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"no-fault" terminations, the landlord is legally obligated to provide relocation assistance to the tenant, either through a direct payment equal to one month's rent or by forgiving the final month's rent. Exemptions exist for certain properties, such as housing less than 15 years old, owner-occupied duplexes, and specific single-family homes not owned by a corporation or Real Estate Investment Trust (REIT).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Emergency Interventions: AB 832 and the Rental Recovery Act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shock of COVID-19 necessitated emergency legislative overlays to AB 1482. The COVID-19 Tenant Relief Act and the subsequent COVID-19 Rental Housing Recovery Act, heavily amended by Assembly Bill 832 (AB 832), established a convoluted framework designed to prevent mass displacement while addressing landlords' financial deficits.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832 prohibited landlords from evicting tenants for nonpayment of rent due to COVID-19-related financial distress (defined as a loss of income or increased expenses caused by the pandemic) for rent owed between March 1, 2020, and September 30, 2021. To trigger these protections, a landlord issuing an eviction notice was required to include a blank "Declaration of COVID-19-related financial distress" form. The tenant was legally required to sign and return this declaration within 15 days under penalty of perjury. Failure to return the declaration rendered the eviction notice valid.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for rent missed during the transitional period between September 1, 2020, and September 30, 2021, the tenant was required to pay at least 25% of the total accumulated rent due by September 30, 2021, to be permanently protected from eviction for that specific debt.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From October 1, 2021, to March 31, 2022, AB 832 imposed a new procedural hurdle: landlords were required to apply for governmental rental assistance before they could legally proceed with an unlawful detainer action for nonpayment of rent. Courts were explicitly authorized to restrict unlawful detainer summonses if the landlord failed to cooperate with the rental assistance application process. Concurrently, unpaid COVID-19 rental debt was legally converted into consumer debt, allowing landlords to sue former tenants in Small Claims Court beginning November 1, 2021, entirely bypassing the traditional monetary limits ($10,000) typically enforced in that venue.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Unlawful Detainer Process and Sheriff Lockouts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pandemic protections expired, the standard California Unlawful Detainer (eviction) process resumed its highly accelerated timeline. This process represents the absolute only legal avenue for a landlord to regain possession of a residential unit. The timeline is notoriously compressed:</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to Quit:</w:t>
      </w:r>
      <w:r w:rsidDel="00000000" w:rsidR="00000000" w:rsidRPr="00000000">
        <w:rPr>
          <w:rtl w:val="0"/>
        </w:rPr>
        <w:t xml:space="preserve"> The landlord serves a formal notice. This can be a 3-Day Notice to Pay or Quit (for nonpayment of rent), a 3-Day Notice to Perform Covenant or Quit (for curable lease breaches), or a 30-Day, 60-Day, or 90-Day Notice of Termination for periodic tenancies, depending on the length of the tenancy and whether just cause is required.</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Summons and Complaint:</w:t>
      </w:r>
      <w:r w:rsidDel="00000000" w:rsidR="00000000" w:rsidRPr="00000000">
        <w:rPr>
          <w:rtl w:val="0"/>
        </w:rPr>
        <w:t xml:space="preserve"> If the tenant does not comply with the notice by the expiration date, the landlord initiates the lawsuit by filing an Unlawful Detainer Summons and Complaint in Superior Court.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Tenant Response:</w:t>
      </w:r>
      <w:r w:rsidDel="00000000" w:rsidR="00000000" w:rsidRPr="00000000">
        <w:rPr>
          <w:rtl w:val="0"/>
        </w:rPr>
        <w:t xml:space="preserve"> Upon being formally served with the Summons and Complaint, the tenant has a remarkably brief window to file a responsive pleading (such as an Answer, Demurrer, or Motion to Quash) with the court. Effective January 1, 2025, this deadline was extended from 5 days to 10 court days (excluding weekends and judicial holidays). Failure to file a response within 10 court days results in a default judgment in favor of the landlord.</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Trial Setting:</w:t>
      </w:r>
      <w:r w:rsidDel="00000000" w:rsidR="00000000" w:rsidRPr="00000000">
        <w:rPr>
          <w:rtl w:val="0"/>
        </w:rPr>
        <w:t xml:space="preserve"> If the tenant successfully files an Answer, the landlord may request a trial. Under Code of Civil Procedure § 1170.5, the court is obligated to set the trial date within 20 days of the request.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Judgment and Writ of Possession:</w:t>
      </w:r>
      <w:r w:rsidDel="00000000" w:rsidR="00000000" w:rsidRPr="00000000">
        <w:rPr>
          <w:rtl w:val="0"/>
        </w:rPr>
        <w:t xml:space="preserve"> If the landlord prevails at trial (or secures a default judgment), the court issues a Judgment for Possession. The court clerk then issues a Writ of Possession (Form EJ-130) to the county Sheriff.</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to Vacate and Physical Lockout:</w:t>
      </w:r>
      <w:r w:rsidDel="00000000" w:rsidR="00000000" w:rsidRPr="00000000">
        <w:rPr>
          <w:rtl w:val="0"/>
        </w:rPr>
        <w:t xml:space="preserve"> The Sheriff receives the Writ and physically posts a 5-Day Notice to Vacate on the tenant's door. This document explicitly orders the tenant to vacate and provides instructions to claim a right of possession if applicable. If the tenant remains in the property after the five days expire, Sheriff's deputies return to conduct the physical lockout, forcibly removing the tenant and restoring possession to the landlord.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Eviction Phase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Action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Timeline / Deadline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Initial Notice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Landlord serves Notice to Quit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30, 60, or 90 days depending on the cause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Pleading</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Tenant files written Answer after being served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court days (excluding weekends/holidays)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Trial Setting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Court schedules Unlawful Detainer trial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20 days of request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Enforcement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Sheriff posts Notice to Vacate on property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prior to physical lockout</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2: Standard California Unlawful Detainer Timeline.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Procedural Violations: Unposted Notices and Self-Help Evictions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rigorous statutory requirements governing unlawful detainers, systemic abuses and procedural violations frequently occur, severely prejudicing tenant rights. California Civil Code § 789.3 strictly prohibits landlords from utilizing "self-help" methods to remove a tenant. It is illegal for a landlord to change the locks, shut off utilities, or remove a tenant's personal property without a valid Writ of Possession executed by a sworn Sheriff.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Violations of CC § 789.3 expose the offending landlord to severe civil liabilities, including actual damages (such as hotel costs and the value of missing property), reasonable attorney fees, and punitive statutory damages of $100 per day for each day the violation continues (with a strict minimum of $250 per violation). Furthermore, California Penal Code § 418 classifies self-help eviction as a criminal misdemeanor, punishable by up to six months in county jail.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case study from Irvine, California, highlights the devastating impact of alleged procedural irregularities. The tenant, residing in the highly desirable Woodbridge community (specifically at a property operated by Shea Apartments/Shea Properties), reported being "evicted from on an un-posted restoration". According to the detailed records, the tenant was entirely unaware of the impending lockout until law enforcement arrived at gunpoint, suggesting a critical failure in the procedural timeline—specifically that the mandatory 5-Day Notice to Vacate issued by the Sheriff was either unposted, improperly served, or maliciously intercepted.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sudden, unannounced removal prevented the tenant from securing vital business infrastructure. The tenant's laboratory of computers, containing proprietary algorithmic trading software, custom CNC architectural designs, and the sensitive personal information of affluent clientele (including communications from high-profile political figures), was abandoned and subsequently locked in Woodbridge Self Storage units. Because the sudden eviction eliminated the tenant's ability to operate his business, he defaulted on the storage fees, risking the auction and permanent loss of decades of intellectual property.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consequences of an eviction—whether lawful or procedurally defective—extend far beyond the immediate loss of shelter. An eviction judgment becomes a matter of permanent public record, severely damaging consumer credit reports. Given the proliferation of automated tenant screening algorithms, an eviction record effectively blacklists the individual from securing future housing. In the Irvine case study, the sudden displacement caused the tenant's credit score to plummet from 680 to the 400s, triggering the repossession of his vehicles (an Abarth and a Jaguar) and precluding access to subsequent commercial loans or housing leases.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Warranty of Habitability and Security Deposit Regulations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eviction statutes, California law meticulously governs the habitability of rental units and the disposition of security deposits. Under the landmark California Supreme Court case </w:t>
      </w:r>
      <w:r w:rsidDel="00000000" w:rsidR="00000000" w:rsidRPr="00000000">
        <w:rPr>
          <w:i w:val="1"/>
          <w:iCs w:val="1"/>
          <w:rtl w:val="0"/>
        </w:rPr>
        <w:t xml:space="preserve">Green v. Superior Court</w:t>
      </w:r>
      <w:r w:rsidDel="00000000" w:rsidR="00000000" w:rsidRPr="00000000">
        <w:rPr>
          <w:rtl w:val="0"/>
        </w:rPr>
        <w:t xml:space="preserve">, all residential leases contain an "implied warranty of habitability," obligating the landlord to maintain the premises in a condition fit for human occupation. If a landlord fails to repair serious defects (e.g., lack of hot water, gas leaks, severe mold, or roof leaks), the tenant possesses several legal remedies.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Tenants may utilize the "repair and deduct" remedy, allowing them to deduct the cost of repairs from their rent (up to the amount of one month's rent) if the landlord ignores a written request for a reasonable period (typically 30 days). Alternatively, the tenant may utilize the "abandonment" remedy to break the lease without penalty, or the "rent withholding" remedy, wherein rent is placed into an escrow account until habitability defects are resolved.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Regarding security deposits, Civil Code § 1950.5 limits the maximum deposit a landlord can demand to two months' rent for an unfurnished unit, and three months' rent for a furnished unit. The law strictly prohibits "nonrefundable" deposits. Upon the termination of a tenancy, the landlord has exactly 21 calendar days to mail the tenant a full refund, or an itemized statement detailing any lawful deductions (unpaid rent, cleaning, or damages beyond normal wear and tear) alongside the remaining balance and copies of receipts for repairs exceeding $125. Failure to adhere to the 21-day rule forces the landlord to forfeit the right to keep any portion of the deposit, and bad-faith retention can result in statutory damages of up to twice the deposit amount.</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Interventions: Homelessness Programs and the Accountability Gap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intersecting safety nets of unemployment benefits, emergency rental assistance, and housing law fail, individuals are pushed into the homelessness ecosystem. Recognizing the severity of this crisis, the State of California has dramatically increased its financial commitment, allocating nearly $24 billion for homelessness and housing initiatives between fiscal years 2018–19 and 2022–23. The California Interagency Council on Homelessness (Cal ICH) serves as the primary statutory body tasked with coordinating these massive capital outlays across 18 disparate state entities.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Systemic Failures of Cal ICH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unprecedented funding, a comprehensive 2024 report by the California State Auditor (Report 2023-102.1) revealed profound, systemic deficiencies in the state's ability to measure the cost-effectiveness of its interventions. The audit concluded that Cal ICH failed to consistently track and evaluate the State’s efforts to prevent and end homelessness. While Cal ICH published a one-time Statewide Homelessness Assessment covering FY 2018–19 through 2020–21, it failed to maintain ongoing tracking of financial data and programmatic outcomes despite billions in subsequent appropriations.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State Auditor noted that Cal ICH’s Action Plan for Preventing and Ending Homelessness fundamentally failed to align with its statutory mandates to ensure accountability and results. The council did not establish a consistent methodology for gathering information on program costs and outcomes, leaving policymakers blind to the efficacy of their investments. Furthermore, the State’s Homeless Data Integration System (HDIS), which aggregates data from local Continuums of Care (CoCs) via their Homeless Management Information Systems (HMIS), was found to be plagued by severe data inaccuracies. State auditors identified fictitious test clients (e.g., records under names like "Mickey Mouse" or "Super Woman") and illogical bed inventory data (e.g., a single shelter reporting 1,100 enrolled individuals for an inventory of fewer than 300 beds) that grossly skewed public-facing dashboards. Because Cal ICH failed to analyze the available data to determine program effectiveness, it could not provide critical intelligence to state policymakers regarding funding prioritization.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Evaluating Programmatic Cost-Effectiveness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absence of Cal ICH data, the State Auditor independently evaluated five specific state-funded programs to determine their cost-effectiveness. The rigorous analysis concluded that two programs were likely cost-effective, while the state lacked sufficient data to evaluate the remaining three.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Cost-Effective Programs: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Homekey (HCD):</w:t>
      </w:r>
      <w:r w:rsidDel="00000000" w:rsidR="00000000" w:rsidRPr="00000000">
        <w:rPr>
          <w:rtl w:val="0"/>
        </w:rPr>
        <w:t xml:space="preserve"> Administered by the Department of Housing and Community Development, Homekey provides massive capital grants to local public agencies to acquire and rehabilitate existing properties—such as motels, hotels, and commercial spaces—into permanent or interim housing. Analysis of Round 1 data indicated that the average cost to produce a single Homekey unit was approximately $144,000. This is highly cost-effective when compared to the staggering cost of new affordable housing construction in California, which in 2019 ranged from $380,000 to $570,000 per unit, and often exceeds $1,000,000 per unit in the Bay Area.</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CalWORKs Housing Support Program (CDSS):</w:t>
      </w:r>
      <w:r w:rsidDel="00000000" w:rsidR="00000000" w:rsidRPr="00000000">
        <w:rPr>
          <w:rtl w:val="0"/>
        </w:rPr>
        <w:t xml:space="preserve"> Administered by the California Department of Social Services, this program provides direct financial assistance and wraparound services (such as rental assistance, security deposits, and housing navigation) to families enrolled in CalWORKs who are at risk of homelessness. The program cost between $12,000 and $22,000 per family per fiscal year to keep them permanently housed. This compares highly favorably to the estimated taxpayer burden of supporting one person experiencing chronic homelessness, which ranges from $30,000 to $50,000 annually in crisis response services.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Programs with Insufficient Data:</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Rental Assistance Program (SRAP):</w:t>
      </w:r>
      <w:r w:rsidDel="00000000" w:rsidR="00000000" w:rsidRPr="00000000">
        <w:rPr>
          <w:rtl w:val="0"/>
        </w:rPr>
        <w:t xml:space="preserve"> While SRAP distributed over $4.8 billion in federal and state funds to prevent COVID-19 evictions by paying rental arrears, HCD failed to track long-term eviction outcomes for recipients. Consequently, it is impossible to determine if the assistance permanently stabilized the 370,000 households it served, or if they subsequently fell back into homelessness.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Homeless Housing, Assistance and Prevention (HHAP):</w:t>
      </w:r>
      <w:r w:rsidDel="00000000" w:rsidR="00000000" w:rsidRPr="00000000">
        <w:rPr>
          <w:rtl w:val="0"/>
        </w:rPr>
        <w:t xml:space="preserve"> A multibillion-dollar block grant program providing flexible funds to local jurisdictions for emergency shelters and street outreach. Cal ICH data indicated that nearly one-third of individuals exiting HHAP Round 1-funded services left for "unknown destinations," making the ultimate success rate indeterminate.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Encampment Resolution Funding (ERF):</w:t>
      </w:r>
      <w:r w:rsidDel="00000000" w:rsidR="00000000" w:rsidRPr="00000000">
        <w:rPr>
          <w:rtl w:val="0"/>
        </w:rPr>
        <w:t xml:space="preserve"> Provides competitive grants to assist local jurisdictions in resolving encampments and transitioning individuals into safe housing. Due to the nascent nature of the program and poor outcome tracking, long-term cost-effectiveness could not be verified.</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Localized Mitigation: The Huntington Beach TASS Agreement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state agencies floundered with macro-level data and reporting requirements, local municipalities were forced to execute rapid, on-the-ground interventions. For example, on April 20, 2020, the City of Huntington Beach and the County of Orange entered into a highly detailed Emergency Facility Use Agreement to establish a Temporary Alternative Shelter Site (TASS) at 17631 Cameron Lane and 17642 Beach Boulevard.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Funded by the federal CARES Act and governed by strict FEMA provisions (including compliance with the Davis-Bacon Act for prevailing wages and the Copeland Anti-Kickback Act), the County of Orange invested an estimated $2 million into the site. The rigorous construction scope included site demolition, grading, installation of underground utilities (electrical, water, sewer), on-site stormwater retention, and the erection of a massive SPRUNG tent structure.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agreement highlighted the intense friction between municipal control and county-level emergency health mandates. To placate local opposition, the city required strict operational protocols: the designated operator, the Illumination Foundation, was prohibited from allowing on-demand walk-ins or drop-offs. All clients were required to sign a strict User Agreement, and the Huntington Beach Police Department retained final approval over the facility's security plan. Critically, the TASS agreement explicitly excluded individuals who were COVID-19 positive or symptomatic, focusing instead on mitigating the vulnerability of the general homeless population to prevent an outbreak that would overwhelm the local health care system. Such localized, highly negotiated agreements highlight the rapid, ad-hoc infrastructural deployment required when broader state safety nets fail to materialize in time.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Legal Aid, Pro Bono Support, and Systemic Remediation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individuals navigating the labyrinth of unlawful detainers, identity theft, and benefit denial, access to competent legal counsel is the ultimate determining factor in preventing chronic displacement. However, unlike the criminal justice system, the civil justice system does not guarantee the right to counsel in housing or administrative matters, leaving millions of tenants to navigate highly technical legal proceedings pro per (without representation).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Southern California, particularly Orange County, organizations such as Community Legal Aid SoCal (CLA SoCal) and the Public Law Center (PLC) provide critical pro bono intervention. CLA SoCal operates a robust network of services, including a Tenant Hotline, Remote Eviction Defense Clinics, and an Eviction Diversion Pilot Program that provides mediation and up to $10,000 in rental assistance to avert displacement. Furthermore, their Consumer Defense Unit provides direct legal assistance for identity theft issues, debt collection lawsuits, and wage garnishments. Similarly, the Public Law Center (PLC) leverages a vast network of pro bono attorneys from private firms and the Federal Government Pro Bono Program to provide services to low-income residents, focusing on deportation defense, consumer warranties, and housing preservation.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eviction scenarios, the intervention of a pro bono attorney is often the only mechanism preventing an unlawful lockout. Pro bono counsel can assist tenants in drafting and filing an Answer within the punishing 10-court-day deadline, raising highly technical affirmative defenses. These defenses may include documenting breaches of the implied warranty of habitability, citing retaliatory eviction under Civil Code § 1942.5, or proving the landlord's failure to comply with AB 832 rental assistance mandates.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an eviction judgment is entered and the Sheriff posts a Notice to Vacate, legal aid attorneys can file an ex parte application for a "stay of execution of judgment." This emergency motion requests the court to delay the lockout due to extreme hardship, though it typically requires the tenant to pay the daily pro-rated rent to the court for the duration of the stay. For victims of illegal, self-help lockouts (where the landlord bypasses the Sheriff entirely), attorneys can seek an emergency Temporary Restraining Order (TRO) to compel the landlord to restore possession and utilities immediately. However, the efficacy of these legal lifelines is inherently limited by the digital divide; individuals who have lost their documentation, internet access, and physical shelter as a result of the displacement are often fundamentally incapable of connecting with the legal aid resources necessary to save them.</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Policy Implications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synthesis of macroeconomic reports, legislative mandates, state audits, municipal contracts, and documented empirical casework reveals profound structural vulnerabilities within California's pandemic-era relief and housing security apparatus. The analysis yields several critical, actionable conclusions: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implementation of rigid, anti-fraud digital verification systems (such as ID.me), while undeniably necessary to protect the integrity of the unemployment insurance trust fund, inadvertently weaponized administrative bureaucracy against the most vulnerable. By demanding physical, unexpired primary documentation and biometric alignment, the system inherently disqualifies individuals who have been displaced or subjected to sudden evictions. This creates a self-perpetuating cycle of poverty: the inability to physically prove identity precludes the acquisition of the capital (unemployment benefits) required to restore that identity.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underwriting guidelines for emergency capital—specifically the SBA EIDL program—are fundamentally misaligned with the realities of disaster economics. Utilizing current, depressed credit scores to determine eligibility for disaster relief ensures that the entities most heavily impacted by the economic shock are categorically denied assistance. This policy disproportionately harmed highly productive sole proprietors and independent contractors, whose localized economic contributions were erased by temporary liquidity crises.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while the California legislature enacted robust, theoretical tenant protections through AB 1482 and AB 832, the actual enforcement of these protections relies entirely on tenant legal literacy and perfect procedural execution by the courts and county Sheriffs. Instances of unposted Notices to Vacate or sudden, illegal lockouts bypass the judicial safety valves intended to ensure due process. Once physical possession of the domicile is lost, the tenant's ability to mount a legal defense, protect their intellectual property, or maintain commercial employment is critically and often permanently compromised.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state's massive, multi-billion-dollar capital deployment toward homelessness intervention is fundamentally undermined by a lack of rigorous, program-specific outcome tracking. As explicitly noted by the California State Auditor, without a unified methodology for gathering cost and outcome data, policymakers cannot distinguish between highly effective, scalable interventions (like the Homekey program) and programs that function as mere administrative black holes.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rectify these systemic failures, future policy frameworks must aggressively decouple emergency relief eligibility from traditional consumer credit metrics. Furthermore, administrative agencies must establish alternative, non-digital identity verification pathways for displaced persons. Finally, there must be stricter judicial oversight of local law enforcement's execution of Writs of Possession to ensure that constitutional due process is maintained at the absolute threshold of displacement.</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Deputy Secretary of the Treasury Wally Adeyemo Highlights Orlando Job Training Programs Funded By The American Rescue Plan, 2. Treasury Releases Fact Sheet Detailing How Counties are Using State and Local Fiscal Recovery Funds to Invest in their Communities , 3. 2023-102.1.pdf, 4. Re: Casework Anthony Michael DiMarcello III - Please Help, 5. How California's COVID unemployment system failed its residents - CalMatters, https://calmatters.org/economy/2023/11/california-unemployment-covid/ 6. Economy Statement for the Treasury Borrowing Advisory Committee, 7. Remarks by Assistant Secretary for Economic Policy (P.D.O.) Eric Van Nostrand on U.S. Business Investment in the Post-COVID Expansion, 8. Remarks by Deputy Secretary of the Treasury Wally Adeyemo at the National Asian / Pacific Islander American Chamber of Commerce and Entrepreneurship 2023 Business Summit , 9. COVID-EIDL-FAQs-090821-508.pdf, https://drive.google.com/open?id=1fQhzxOOMrY4y730EDnC0azjvXEcg5Jm5 10. SBA Modifies COVID-19 Economic Injury Disaster Loan Program, https://www.sgrlaw.com/wp-content/uploads/2023/03/SBA-Modifies-COVID19-Economic-Injury-Disaster-Loan-Program.pdf 11. (No Subject), 12. Re: Urgent, 13. Internal Documents Reveal The Story Behind California's Unemployment Crash | LAist, https://laist.com/news/politics/internal-documents-reveal-the-story-behind-californias-unemployment-crash 14. Identity Verification for Unemployment - EDD - CA.gov, https://edd.ca.gov/en/unemployment/identity-verification/ 15. HEALTHCARE: Welcome Kit FAQ's - ID.me, https://network.id.me/wp-content/uploads/Healthcare-Welcome-Kit-Onboarding-FAQs_ADA.pdf 16. ID.me Presents Barriers for Low Income People Seeking Unemployment Insurance and Other Government Benefits - Community Legal Services, https://clsphila.org/wp-content/uploads/2021/11/IDme-issue-brief-final-11-2-2021.pdf 17. ID.me - Indiana Unemployment - IN.gov, https://www.in.gov/dwd/indiana-unemployment/fraud/id.me/ 18. ID.me FAQs, https://des.az.gov/sites/default/files/media/IDme-FAQs.pdf 19. XBRL Viewer - SEC.gov, https://www.sec.gov/ix?doc=/Archives/edgar/data/1645070/000164507023000013/ster-20221231.htm 20. Claims FAQs - EDD - CA.gov, https://edd.ca.gov/en/unemployment/FAQ-claims/ 21. Unemployment Insurance – Forms and Publications - EDD - CA.gov, https://edd.ca.gov/en/unemployment/forms_and_publications/ 22. How to Fight EDD Fraud Investigation: A Step-by-Step Defense Guide, https://kelmanskylaw.com/fighting-edd-fraud-investigation/ 23. Fwd: U.S. Senator Dianne Feinstein responding to your message, 24. California-Tenants-Guide (1).pdf, 25. Bill Text: CA AB832 | 2021-2022 | Regular Session | Chaptered - LegiScan, https://legiscan.com/CA/text/AB832/id/2421791 26. What You Need to Know About AB 832 - Law Foundation of Silicon Valley, https://www.lawfoundation.org/ctra-faq-eng 27. AB 832 - CALIFORNIA COVID-19 TENANT RELIEF ACT OF 2020, https://www.hkplawfirm.com/wp-content/uploads/sites/1401596/2021/07/ab832.pdf 28. Landlords - Protection Information - Housing Is Key - CA.gov, https://housing.ca.gov/landlord/protection_guidelines.html 29. Eviction and Rent Freeze Ordinance FAQs - Archived - Contra Costa County - CA.gov, https://www.contracosta.ca.gov/7836/Eviction-and-Rent-Freeze-Ordinance-FAQs 30. California Unlawful Detainer Timeline: What Happens, In What Order, and How Fast, https://zakfisherlaw.com/unlawful-detainer-timeline-california/ 31. EVICTIONS - Fresno County Sheriff's Office, https://www.fresnosheriff.org/images/pdfs/civil/Evictions%20Information%20Sheet.pdf 32. Landlord / Tenant | Superior Court of California | County of San Bernardino, https://sanbernardino.courts.ca.gov/divisions/civil/landlord-tenant 33. Eviction Process in California: Timeline &amp; Reasons - Sinai Law Firm, https://sinailawfirm.com/articles/eviction/eviction-process-in-california-timeline-reasons/ 34. Evictions | Office of the Sheriff | County of Santa Clara, https://sheriff.santaclaracounty.gov/services/civil-services/evictions 35. What Happens After an Eviction Judgement in California? - Shield Law, APC, https://www.shieldlawapc.com/what-happens-after-an-eviction-judgement-in-california 36. Illegal Landlord Conduct California (CC 789.3 1940.2 1942.5) - The Law Office of Zak Fisher, https://zakfisherlaw.com/illegal-landlord-conduct-lockout-utility-shutoff-california/ 37. Eviction cases in California | California Courts | Self Help Guide, https://selfhelp.courts.ca.gov/eviction 38. Woodbridge Irvine Apartments for Rent, https://www.sheaapartments.com/apartments/woodbridge/ 39. Orange County Apartments for Rent | Studio-3 Bedroom Floor Plan Options Available, http://www.sheaapartments.com/subregion/orange-county/ 40. Re: Anthony DiMarcello - Casework Last Attempt Attachments, 41. contract tass, 42. Self-Help Legal Access Centers - Los Angeles County Department of Consumer &amp; Business Affairs, https://dcba.lacounty.gov/legal-access-centers/ 43. Help Yourself - Community Legal Aid SoCal, https://www.communitylegalsocal.org/help-yourself/ 44. Staff - Public Law Center, https://www.publiclawcenter.org/about/staff/ 45. Free Legal Workshops and Clinics - Community Legal Aid SoCal, https://www.communitylegalsocal.org/programs-services/free-legal-workshops-and-clinics/ 46. Consumer Defense - Community Legal Aid SoCal, https://www.communitylegalsocal.org/programs-services/areas-of-law/consumer-defense/ 47. Our Services - Public Law Center, https://www.publiclawcenter.org/services/ 48. Federal Government Pro Bono Program Volunteer Guide: Los Angeles, https://www.justice.gov/jmd/pro-bono-program/volunteer-guide-los-angeles 49. SHERIFF'S NOTICES &amp; ASKING THE COURT TO DELAY AN EVICTION ORDER, https://ebclc.org/about-us/program-areas/housing-services/sheriffs-notice-guidance/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