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public project data and recent regulatory filings, there are severe discrepancies between Huntington Beach’s official plan check standards and how the </w:t>
      </w:r>
      <w:r w:rsidDel="00000000" w:rsidR="00000000" w:rsidRPr="00000000">
        <w:rPr>
          <w:rFonts w:ascii="Google Sans" w:cs="Google Sans" w:eastAsia="Google Sans" w:hAnsi="Google Sans"/>
          <w:b w:val="1"/>
          <w:bCs w:val="1"/>
          <w:color w:val="1f1f1f"/>
          <w:rtl w:val="0"/>
        </w:rPr>
        <w:t xml:space="preserve">Huntington Beach Navigation Center (HBNC)</w:t>
      </w:r>
      <w:r w:rsidDel="00000000" w:rsidR="00000000" w:rsidRPr="00000000">
        <w:rPr>
          <w:rFonts w:ascii="Google Sans" w:cs="Google Sans" w:eastAsia="Google Sans" w:hAnsi="Google Sans"/>
          <w:color w:val="1f1f1f"/>
          <w:rtl w:val="0"/>
        </w:rPr>
        <w:t xml:space="preserve"> was actually executed. Totum Consulting is explicitly listed as a primary collaborator on this project, alongside the City, Orange County Public Works, and RPM Team.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cross-referencing the city's mandated administrative logistics with the realities of the HBNC deal, significant deviations in procedural, structural, and environmental compliance emerge.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Timeline vs. Municipal Logistics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city's stated regulations dictate strict timelines for processing through the HB ACA portal: commercial grading plan checks require a minimum of 4 weeks for the initial review alone, and general building reviews take an additional 10 to 20 days. Furthermore, the city explicitly states that </w:t>
      </w:r>
      <w:r w:rsidDel="00000000" w:rsidR="00000000" w:rsidRPr="00000000">
        <w:rPr>
          <w:rFonts w:ascii="Google Sans" w:cs="Google Sans" w:eastAsia="Google Sans" w:hAnsi="Google Sans"/>
          <w:i w:val="1"/>
          <w:iCs w:val="1"/>
          <w:color w:val="1f1f1f"/>
          <w:rtl w:val="0"/>
        </w:rPr>
        <w:t xml:space="preserve">expedited reviews are not offered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according to the manufacturer's </w:t>
      </w:r>
      <w:r w:rsidDel="00000000" w:rsidR="00000000" w:rsidRPr="00000000">
        <w:rPr>
          <w:rFonts w:ascii="Google Sans" w:cs="Google Sans" w:eastAsia="Google Sans" w:hAnsi="Google Sans"/>
          <w:color w:val="1f1f1f"/>
          <w:rtl w:val="0"/>
        </w:rPr>
        <w:t xml:space="preserve">project profile for the Navigation Center</w:t>
      </w:r>
      <w:r w:rsidDel="00000000" w:rsidR="00000000" w:rsidRPr="00000000">
        <w:rPr>
          <w:rFonts w:ascii="Google Sans" w:cs="Google Sans" w:eastAsia="Google Sans" w:hAnsi="Google Sans"/>
          <w:color w:val="1f1f1f"/>
          <w:rtl w:val="0"/>
        </w:rPr>
        <w:t xml:space="preserve">, the massive 60' x 195' facility was "delivered in just four weeks and constructed in five." Squeezing procurement, multi-agency plan checks, site grading, and full construction into a five-week window strongly indicates that standard procedural bottlenecks and mandatory review periods were bypassed or administratively overridden.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Environmental Compliance &amp; Grading Plan Failures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glaring breakdown of standards involves the site's environmental baseline and grading protocols. Huntington Beach Public Works requires comprehensive detailing of existing soil conditions and drainage for any grading permit.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recent </w:t>
      </w:r>
      <w:hyperlink r:id="rId6">
        <w:r w:rsidDel="00000000" w:rsidR="00000000" w:rsidRPr="00000000">
          <w:rPr>
            <w:rFonts w:ascii="Google Sans" w:cs="Google Sans" w:eastAsia="Google Sans" w:hAnsi="Google Sans"/>
            <w:color w:val="0b57d0"/>
            <w:u w:val="single"/>
            <w:rtl w:val="0"/>
          </w:rPr>
          <w:t xml:space="preserve">regulatory petition (A-2926) filed with the California State Water Resources Control Board</w:t>
        </w:r>
      </w:hyperlink>
      <w:r w:rsidDel="00000000" w:rsidR="00000000" w:rsidRPr="00000000">
        <w:rPr>
          <w:rFonts w:ascii="Google Sans" w:cs="Google Sans" w:eastAsia="Google Sans" w:hAnsi="Google Sans"/>
          <w:color w:val="1f1f1f"/>
          <w:rtl w:val="0"/>
        </w:rPr>
        <w:t xml:space="preserve"> in late 2025 exposes massive failures in this area: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Concealed Hazards:</w:t>
      </w:r>
      <w:r w:rsidDel="00000000" w:rsidR="00000000" w:rsidRPr="00000000">
        <w:rPr>
          <w:rFonts w:ascii="Google Sans" w:cs="Google Sans" w:eastAsia="Google Sans" w:hAnsi="Google Sans"/>
          <w:color w:val="1f1f1f"/>
          <w:rtl w:val="0"/>
        </w:rPr>
        <w:t xml:space="preserve"> The petition alleges the HBNC was constructed directly over a hazardous waste plume containing toxic levels of Hexavalent Chromium (49x the safety limit), Lead, Arsenic, and Pesticides.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Substandard Engineering:</w:t>
      </w:r>
      <w:r w:rsidDel="00000000" w:rsidR="00000000" w:rsidRPr="00000000">
        <w:rPr>
          <w:rFonts w:ascii="Google Sans" w:cs="Google Sans" w:eastAsia="Google Sans" w:hAnsi="Google Sans"/>
          <w:color w:val="1f1f1f"/>
          <w:rtl w:val="0"/>
        </w:rPr>
        <w:t xml:space="preserve"> The only containment barrier implemented was a "substandard asphalt cap."</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Procedural Anomalies:</w:t>
      </w:r>
      <w:r w:rsidDel="00000000" w:rsidR="00000000" w:rsidRPr="00000000">
        <w:rPr>
          <w:rFonts w:ascii="Google Sans" w:cs="Google Sans" w:eastAsia="Google Sans" w:hAnsi="Google Sans"/>
          <w:color w:val="1f1f1f"/>
          <w:rtl w:val="0"/>
        </w:rPr>
        <w:t xml:space="preserve"> The filing claims the site is operating based on a fraudulently obtained "Case Closed" certificate, shielding the involved parties from compelled site remediation or full excavation.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Third-Party Oversight Breakdown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Totum Consulting’s stated purview includes bridging the gap between municipal code requirements and private development through third-party plan checks and construction management. If their standard is to ensure strict compliance with the California Building Code and local municipal codes, the approval of a "substandard asphalt cap" over a known heavy-metal plume points to a localized breakdown in fiduciary and administrative oversight.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 preexisting Orange County Public Works structure with a newly purchased Huntington Beach structure to "optimize the site" further suggests that the project utilized fragmented, multi-jurisdictional logistics to fast-track deployment.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Given these environmental and procedural anomalies, would you like to cross-reference the specific dates of the HBNC's "Case Closed" certificate against the operational timelines of the involved third-party consultants in your investigative matrix?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aterboards.ca.gov/public_notices/petitions/water_quality/docs/2025/a2926petitio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