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Forensic Audit and Cross-Reference Analysis of Orange County Judicial Records, Municipal Property Transactions, and Whistleblower Disclosures (2020–2026)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intersection of state-level judicial administration, municipal property transactions, federal environmental compliance, and regulated financial licensing in Southern California represents a complex legal arena. Over the past decade, regulatory shifts, economic disruptions from the COVID-19 pandemic, and high-profile public corruption scandals have heavily strained the integrity of local administrative oversight.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examining the extensive public records, state and federal litigation dockets, and private digital files associated with Anthony DiMarcello III, this report provides a comprehensive forensic analysis of the systemic vulnerabilities and administrative actions defining his multi-year litigation, whistleblower, and identity theft disclosures.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subject of this investigation, Anthony DiMarcello III, is a licensed Series 3 commodity futures broker, an Associated Person, a professional user interface and software designer, and a registered In-Home Supportive Services (IHSS) caregiver.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His private open-source intelligence (OSINT) operations and regulatory research are documented under PACER Account No. 9117499, which registers 412 Olive Avenue, Huntington Beach, California—the administrative offices of the Huntington Beach Downtown Residents Association—as its primary contact address.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Between 2020 and 2026, DiMarcello’s activities and the subsequent legal and retaliatory actions taken against him have highlighted critical procedural challenges within the Orange County Superior Court (occourts) system, local municipal redevelopment agencies, and federal whistleblower protection channels.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Evidence and Google Photos Cross-Reference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requirement of this forensic review involves searching and cross-referencing visual records—specifically screenshots of Orange County Courts (occourts) cases involving Anthony DiMarcello III and related parties between 2020 and 2026—with corresponding Gmail threads and Workspace documents. The digital records indicate that while no screenshots explicitly labelled "occourts" were found in direct file metadata, his Google Photos, Google Drive, and Gmail archives preserve a highly detailed visual trail of related housing reports, writs of execution, IRS Identity Protection PINs, and personal communications.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safeguard these files from space and payment limitations that threatened his active workspace, Google One Support escalated a data preservation request, applying a temporary 2 TB free storage credit valid for thirty days to ensure the continuous backup of his Google Photos and Google Drive folders. This visual archive contains several key screenshots that directly document his housing disputes, identity theft claims, and legal actions: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Screenshot File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Capture/Send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Visual Subject Matter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Structural Relevance to the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Screenshot_20230908-070913.png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September 8,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 Writ of Execution document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Documents active post-eviction judgment enforcement and asset collection proceedings.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Screenshot_20230423-170615.png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April 23,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IRS Identity Protection Personal Identification Number (IP PIN).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Confirms federal validation of systemic identity theft and tax filing fraud.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Screenshot_20250413-001839.png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April 13,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 evidence 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Preserves technical data during his active investigative phase.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Screenshot_20241005-121911.png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October 5,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 evidence 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Documents ongoing monitoring of the actor networks.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Screenshot_20230919-171615.png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September 19,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Login and authentication codes.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Highlights security practices to preserve system integrity.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Screenshot_20230406-153314.png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April 6,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 property transaction and title data for </w:t>
            </w:r>
            <w:r w:rsidDel="00000000" w:rsidR="00000000" w:rsidRPr="00000000">
              <w:rPr>
                <w:rFonts w:ascii="Arial" w:cs="Arial" w:eastAsia="Arial" w:hAnsi="Arial"/>
                <w:i w:val="1"/>
                <w:iCs w:val="1"/>
                <w:color w:val="1f1f1f"/>
                <w:rtl w:val="0"/>
              </w:rPr>
              <w:t xml:space="preserve">212 Southbrook</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Maps the disputed Irvine residential leasehold 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Screenshot_20230406-094842.png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April 6,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Municipal property maps for </w:t>
            </w:r>
            <w:r w:rsidDel="00000000" w:rsidR="00000000" w:rsidRPr="00000000">
              <w:rPr>
                <w:rFonts w:ascii="Arial" w:cs="Arial" w:eastAsia="Arial" w:hAnsi="Arial"/>
                <w:i w:val="1"/>
                <w:iCs w:val="1"/>
                <w:color w:val="1f1f1f"/>
                <w:rtl w:val="0"/>
              </w:rPr>
              <w:t xml:space="preserve">212 Irvine</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Documents regional geographic parcel allocations.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Screenshot_20230406-094657.png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April 6,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Housing records and reports for </w:t>
            </w:r>
            <w:r w:rsidDel="00000000" w:rsidR="00000000" w:rsidRPr="00000000">
              <w:rPr>
                <w:rFonts w:ascii="Arial" w:cs="Arial" w:eastAsia="Arial" w:hAnsi="Arial"/>
                <w:i w:val="1"/>
                <w:iCs w:val="1"/>
                <w:color w:val="1f1f1f"/>
                <w:rtl w:val="0"/>
              </w:rPr>
              <w:t xml:space="preserve">212 housing</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Connects local housing authority records to the dispute.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Screenshot_20230713-200822.png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July 13,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Relative and associate record details (Indiana).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Mentions affiliated actors, including Anthony Joseph Ricigliano and Garrett Burns.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Screenshot_20220718-075408.png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July 18, 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Email draft composition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Sent by partner Dean Innocenzi to document correspondence drafts.</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and Federal Court Proceedings of Anthony DiMarcello III and Related Parties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central legal proceeding in DiMarcello’s residential litigation history is the unlawful detainer action filed in the Superior Court of California, County of Orange: </w:t>
      </w:r>
      <w:r w:rsidDel="00000000" w:rsidR="00000000" w:rsidRPr="00000000">
        <w:rPr>
          <w:rFonts w:ascii="Arial" w:cs="Arial" w:eastAsia="Arial" w:hAnsi="Arial"/>
          <w:i w:val="1"/>
          <w:iCs w:val="1"/>
          <w:color w:val="1f1f1f"/>
          <w:rtl w:val="0"/>
        </w:rPr>
        <w:t xml:space="preserve">Woodbridge Meadows Apartments LLC vs. Anthony DiMarcello</w:t>
      </w:r>
      <w:r w:rsidDel="00000000" w:rsidR="00000000" w:rsidRPr="00000000">
        <w:rPr>
          <w:rFonts w:ascii="Arial" w:cs="Arial" w:eastAsia="Arial" w:hAnsi="Arial"/>
          <w:color w:val="1f1f1f"/>
          <w:rtl w:val="0"/>
        </w:rPr>
        <w:t xml:space="preserve"> (Case No. 30-2021-01201327-CL-UD-CJC), assigned to Department C61 under Commissioner Carmen Luege. This residential unlawful detainer case is defined by critical procedural anomalies under California’s judicial disqualification standards.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 California Code of Civil Procedure (CCP) Section 170.6, a litigant may file a peremptory challenge to disqualify a judge, commissioner, or referee upon an affidavit of prejudice.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Under California appellate precedent, notably </w:t>
      </w:r>
      <w:r w:rsidDel="00000000" w:rsidR="00000000" w:rsidRPr="00000000">
        <w:rPr>
          <w:rFonts w:ascii="Arial" w:cs="Arial" w:eastAsia="Arial" w:hAnsi="Arial"/>
          <w:i w:val="1"/>
          <w:iCs w:val="1"/>
          <w:color w:val="1f1f1f"/>
          <w:rtl w:val="0"/>
        </w:rPr>
        <w:t xml:space="preserve">Graylee v. Castro</w:t>
      </w:r>
      <w:r w:rsidDel="00000000" w:rsidR="00000000" w:rsidRPr="00000000">
        <w:rPr>
          <w:rFonts w:ascii="Arial" w:cs="Arial" w:eastAsia="Arial" w:hAnsi="Arial"/>
          <w:color w:val="1f1f1f"/>
          <w:rtl w:val="0"/>
        </w:rPr>
        <w:t xml:space="preserve"> (G057901), the filing of a timely and proper CCP Section 170.6 challenge immediately deprives the challenged judicial officer of all jurisdiction.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Any subsequent order, judgment, or writ signed by the disqualified officer is an absolute legal nullity, void </w:t>
      </w:r>
      <w:r w:rsidDel="00000000" w:rsidR="00000000" w:rsidRPr="00000000">
        <w:rPr>
          <w:rFonts w:ascii="Arial" w:cs="Arial" w:eastAsia="Arial" w:hAnsi="Arial"/>
          <w:i w:val="1"/>
          <w:iCs w:val="1"/>
          <w:color w:val="1f1f1f"/>
          <w:rtl w:val="0"/>
        </w:rPr>
        <w:t xml:space="preserve">ab initio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Woodbridge Meadows litigation, DiMarcello filed a formal CCP Section 170.6 peremptory challenge against Commissioner Luege on July 2, 2021.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Despite this active and unresolved challenge, the court clerk entered a default on July 12, 2021, and Commissioner Luege signed and entered a default judgment on July 15, 2021.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Predicated on this void judgment, a Writ of Possession was issued, culminating in an armed lockout by eight sheriff's deputies on August 4, 2021, during which his computational equipment was seized.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Earlier, on August 19, 2021, DiMarcello had submitted an Emergency UD-104 Submission to the court clerk (civilsrl@occourts.org) containing his signed Cover Sheet for Declaration of COVID-19-Related Financial Distress (Form UD-104) and stamped money orders to secure his statutory tenancy protections. Commissioner Luege subsequently denied his set-aside motion on August 23, 2021, ruling the matter moot because the physical lockout had already occurred.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 May 19, 2026, DiMarcello filed a Motion to Vacate the Void Default Judgment under CCP Section 473(d) to nullify the entire register of actions since July 12, 2021.</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Court / Jurisdiction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Case Number &amp;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Filing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Legal/Statutory Claims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Procedural Status &amp;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Orange County Superior Court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30-2021-01201327-CL-UD-CJC</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Woodbridge Meadows Apartments LLC vs. Anthony DiMarcello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June 15, 2021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Unlawful Detainer under CCP § 1161a; contested via Form UD-104 COVID financial distress declaration.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Void judgment entered July 15, 2021, post-CCP § 170.6 challenge; Motion to Vacate under CCP § 473(d) pending.</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Orange County Superior Court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30-2022-01275772-CU-UD-CJC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Project C, LLC vs. Dennis Durham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August 15, 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Commercial Unlawful Detainer regarding tenancy and possession of commercial real 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Remanded from federal court; Chapter 7 stay lifted; final Judgment of Unlawful Detainer entered January 10, 2023.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U.S. District Court, Central District of CA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8:22-cv-02056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Project C, LLC vs. Dennis Durham</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November 9, 2022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Removal of state-level commercial unlawful detainer to federal jurisdiction.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Federal court issued </w:t>
            </w:r>
            <w:r w:rsidDel="00000000" w:rsidR="00000000" w:rsidRPr="00000000">
              <w:rPr>
                <w:rFonts w:ascii="Arial" w:cs="Arial" w:eastAsia="Arial" w:hAnsi="Arial"/>
                <w:i w:val="1"/>
                <w:iCs w:val="1"/>
                <w:color w:val="1f1f1f"/>
                <w:shd w:fill="auto" w:val="clear"/>
                <w:rtl w:val="0"/>
              </w:rPr>
              <w:t xml:space="preserve">sua sponte</w:t>
            </w:r>
            <w:r w:rsidDel="00000000" w:rsidR="00000000" w:rsidRPr="00000000">
              <w:rPr>
                <w:rFonts w:ascii="Arial" w:cs="Arial" w:eastAsia="Arial" w:hAnsi="Arial"/>
                <w:color w:val="1f1f1f"/>
                <w:shd w:fill="auto" w:val="clear"/>
                <w:rtl w:val="0"/>
              </w:rPr>
              <w:t xml:space="preserve"> remand order on November 15, 2022, returning the action to state court.</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U.S. Bankruptcy Court, Central District of 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8:22-bk-11957-SC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In re Dennis Durham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November 16, 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Chapter 7 Voluntary Bankruptcy seeking automatic stay under 11 U.S.C. § 362.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Dismissed on December 28, 2022, due to failure to file required financial schedules.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Orange County Superior Court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24CM02100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People of the State of CA vs. Anthony DiMarcello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May 22, 2025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Misdemeanor receiving stolen property (Penal Code § 496d(a)).</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Warrant status; contested via Serna Motion to Dismiss citing a 527-day prosecutorial delay.</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Orange County Superior Court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23WM15323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People of the State of CA vs. Anthony DiMarcello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Late 2023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Controlled substance possession (Health &amp; Safety Code § 11377(a)).</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Pleaded Not Guilty; currently in warrant status.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Orange County Superior Court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25WM14039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People of the State of CA vs. Anthony DiMarcello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2025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Possession of drug paraphernalia (Health &amp; Safety Code § 11364(a)).</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Active misdemeanor; in warrant status.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Orange County Superior Court</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26WM01260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People of the State of CA vs. Anthony DiMarcello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January 2026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Trespass and refusal to leave real property (Penal Code § 602(o)(1)).</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Stemming from HBNC expulsion; defense asserts due process violation as behavioral health beneficiary.</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contextualize real property possessory actions, a comparison is made with the non-judicial foreclosure of personal property.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Unlike real property evictions, which require formal court filings, sheriff enforcement, and adherence to state-level due process guidelines, personal property storage liens are enforced through private, non-judicial liquidation under the California Self-Storage Facility Act.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is highlighted by the case of Anthony DiMarcello, whose household goods, personal boxes, and furniture—stored in San Marcos, California, after his residential eviction—were scheduled for public auction under Lien Sale LS #1120 in April 2023 due to unpaid rental fees.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Regulated Professional Licensure, Systemic Identity Theft, and Municipal Compliance Audits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forensic files preserve a comprehensive record of DiMarcello's regulated professional status and a corresponding case study of systemic identity theft.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documentation establishes his baseline profile as a fully licensed Series 3 commodity futures broker and an Associated Person (AP) under the regulatory oversight of the Financial Industry Regulatory Authority (FINRA) and the National Futures Association (NFA).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Holding this professional license carries strict regulatory requirements under federal anti-money laundering (AML) and Bank Secrecy Act (BSA) frameworks.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According to the primary report, international cyber-criminals executed a "sustained identity theft and professional impersonation" campaign.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hackers hijacked DiMarcello's Series 3 broker credentials to execute high-volume commodities trades, bypass mandatory Customer Identification Programs (CIP) at clearing firms, manipulate futures markets, and generate fraudulent tax liabilities targeting his Social Security number.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files detail a critical regulatory exception: the Associated Person Exception under </w:t>
      </w:r>
      <w:r w:rsidDel="00000000" w:rsidR="00000000" w:rsidRPr="00000000">
        <w:rPr>
          <w:rFonts w:ascii="Arial" w:cs="Arial" w:eastAsia="Arial" w:hAnsi="Arial"/>
          <w:b w:val="1"/>
          <w:bCs w:val="1"/>
          <w:color w:val="1f1f1f"/>
          <w:rtl w:val="0"/>
        </w:rPr>
        <w:t xml:space="preserve">31 CFR § 1026.320(c)</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federal rule dictates that an individual Series 3 Associated Person satisfies their Bank Secrecy Act obligations by directly reporting license fraud and suspicious trading to the NFA or CFTC, rather than filing a formal Suspicious Activity Report (SAR), which remains the institutional burden of the clearing firm.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explicit and documented notifications sent by DiMarcello to these regulatory bodies, a lack of prompt institutional intervention resulted in a multi-year "whistleblower void" that allowed the impersonation to continue, leading to his industry blacklisting and blocking his return to the commodities sector.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local climate of identity theft and administrative failure is further illuminated by an official municipal compliance audit issued by California State Controller Betty T. Yee in September 2019. The report details an independent compliance review of the legislatively mandated </w:t>
      </w:r>
      <w:r w:rsidDel="00000000" w:rsidR="00000000" w:rsidRPr="00000000">
        <w:rPr>
          <w:rFonts w:ascii="Arial" w:cs="Arial" w:eastAsia="Arial" w:hAnsi="Arial"/>
          <w:b w:val="1"/>
          <w:bCs w:val="1"/>
          <w:color w:val="1f1f1f"/>
          <w:rtl w:val="0"/>
        </w:rPr>
        <w:t xml:space="preserve">Identity Theft Program</w:t>
      </w:r>
      <w:r w:rsidDel="00000000" w:rsidR="00000000" w:rsidRPr="00000000">
        <w:rPr>
          <w:rFonts w:ascii="Arial" w:cs="Arial" w:eastAsia="Arial" w:hAnsi="Arial"/>
          <w:color w:val="1f1f1f"/>
          <w:rtl w:val="0"/>
        </w:rPr>
        <w:t xml:space="preserve"> (governed by California Penal Code § 530.6) for the City of Huntington Beach.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State Controller's audit evaluated how local police departments and municipal managers processed, tracked, and investigated identity theft case numbers and police reports. The audit identified procedural failures and record-tracking deficiencies within the municipality, demonstrating a pre-existing systemic failure by local law enforcement to properly log and investigate complex identity theft cases, directly mirroring the difficulties DiMarcello faced when reporting his license hijacking and stolen "Hero Pay" check to the Huntington Beach Police Department.</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Municipal Land Transactions and the Huntington Beach Navigation Center Controversy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acquisition of contiguous real estate parcels located at 17631 Cameron Lane and 17642 Beach Boulevard in Huntington Beach, California, represents a highly structured municipal transaction executed by the Huntington Beach Housing Authority and the City Council.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Spanning approximately 1.6 acres, the combined site was acquired for a total capital expenditure of $6,094,847.</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funding mechanism was the municipal Low and Moderate Income Housing Asset Fund (LMIHAF), which holds the restricted capital assets of the city’s former redevelopment agency.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Under California law, LMIHAF assets must be used strictly to create, preserve, or improve housing for low- and moderate-income households.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Housing Authority initiated the acquisition to satisfy long-term affordable housing objectives and to prevent the mandatory reversion of excess LMIHAF capital to the State of California.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sellers—Shigeru Yamada and Mitsuru Yamada, acting as trustees for their respective living trusts—structured the transaction to defer the closing of the Beach Boulevard parcel to January 5, 2021, for tax-planning purposes.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facilitate immediate municipal use of the site prior to the transfer of title, the City Manager executed a Ground Lease Agreement effective August 19, 2020, authorizing an interim lease rate of $15,000 per month, funded through restricted COVID-19 Response Funds and the LMIHAF, with CBRE representing both the municipality and the sellers' trusts in negotiations.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Following the acquisition, the combined parcels were designated for a temporary municipal utility: the Huntington Beach Navigation Center (HBNC), an emergency homeless shelter operated under contract by Mercy House Living Centers, Inc..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rapid construction of the HBNC in late 2020 was facilitated by a $4,206,214 infusion of restricted federal and state COVID-19 response funding, scaling the design capacity from 75 beds to 174 beds.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 federal court precedents governing municipal jurisdictions in Orange County, local authorities cannot enforce quality-of-life regulations or anti-camping ordinances unless they can demonstrate shelter bed capacity for at least 60% of their unsheltered homeless population.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Establishing the 174-bed shelter satisfied this 60% threshold, granting the City of Huntington Beach immediate legal authority to enforce anti-vagrancy ordinances.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Property Address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Assessor's Parcel Number (APN) &amp;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Acquisition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Purchase Price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Funding Source &amp; Transaction Parties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17631 Cameron Lane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Huntington Beach, CA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APN: 167-472-08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Single-family residential lot with rear unit.</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August 19, 2020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$3,077,010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(Total cost $3,159,550 including fees).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LMIHAF / Affordable Housing.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Sellers:</w:t>
            </w:r>
            <w:r w:rsidDel="00000000" w:rsidR="00000000" w:rsidRPr="00000000">
              <w:rPr>
                <w:rFonts w:ascii="Arial" w:cs="Arial" w:eastAsia="Arial" w:hAnsi="Arial"/>
                <w:color w:val="1f1f1f"/>
                <w:shd w:fill="auto" w:val="clear"/>
                <w:rtl w:val="0"/>
              </w:rPr>
              <w:t xml:space="preserve"> Shigeru &amp; Mitsuru Yamada (Trustees).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Buyer:</w:t>
            </w:r>
            <w:r w:rsidDel="00000000" w:rsidR="00000000" w:rsidRPr="00000000">
              <w:rPr>
                <w:rFonts w:ascii="Arial" w:cs="Arial" w:eastAsia="Arial" w:hAnsi="Arial"/>
                <w:color w:val="1f1f1f"/>
                <w:shd w:fill="auto" w:val="clear"/>
                <w:rtl w:val="0"/>
              </w:rPr>
              <w:t xml:space="preserve"> City of HB; </w:t>
            </w:r>
            <w:r w:rsidDel="00000000" w:rsidR="00000000" w:rsidRPr="00000000">
              <w:rPr>
                <w:rFonts w:ascii="Arial" w:cs="Arial" w:eastAsia="Arial" w:hAnsi="Arial"/>
                <w:b w:val="1"/>
                <w:bCs w:val="1"/>
                <w:color w:val="1f1f1f"/>
                <w:shd w:fill="auto" w:val="clear"/>
                <w:rtl w:val="0"/>
              </w:rPr>
              <w:t xml:space="preserve">Broker:</w:t>
            </w:r>
            <w:r w:rsidDel="00000000" w:rsidR="00000000" w:rsidRPr="00000000">
              <w:rPr>
                <w:rFonts w:ascii="Arial" w:cs="Arial" w:eastAsia="Arial" w:hAnsi="Arial"/>
                <w:color w:val="1f1f1f"/>
                <w:shd w:fill="auto" w:val="clear"/>
                <w:rtl w:val="0"/>
              </w:rPr>
              <w:t xml:space="preserve"> CBRE.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17642 Beach Boulevard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Huntington Beach, CA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APN: Not Listed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Commercial lot (former auto shop and clean-up site).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January 5, 2021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$3,017,837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(Combined total $6,094,847).</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LMIHAF / Affordable Housing.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Sellers:</w:t>
            </w:r>
            <w:r w:rsidDel="00000000" w:rsidR="00000000" w:rsidRPr="00000000">
              <w:rPr>
                <w:rFonts w:ascii="Arial" w:cs="Arial" w:eastAsia="Arial" w:hAnsi="Arial"/>
                <w:color w:val="1f1f1f"/>
                <w:shd w:fill="auto" w:val="clear"/>
                <w:rtl w:val="0"/>
              </w:rPr>
              <w:t xml:space="preserve"> Shigeru &amp; Mitsuru Yamada (Trustees).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Buyer:</w:t>
            </w:r>
            <w:r w:rsidDel="00000000" w:rsidR="00000000" w:rsidRPr="00000000">
              <w:rPr>
                <w:rFonts w:ascii="Arial" w:cs="Arial" w:eastAsia="Arial" w:hAnsi="Arial"/>
                <w:color w:val="1f1f1f"/>
                <w:shd w:fill="auto" w:val="clear"/>
                <w:rtl w:val="0"/>
              </w:rPr>
              <w:t xml:space="preserve"> City of HB; </w:t>
            </w:r>
            <w:r w:rsidDel="00000000" w:rsidR="00000000" w:rsidRPr="00000000">
              <w:rPr>
                <w:rFonts w:ascii="Arial" w:cs="Arial" w:eastAsia="Arial" w:hAnsi="Arial"/>
                <w:b w:val="1"/>
                <w:bCs w:val="1"/>
                <w:color w:val="1f1f1f"/>
                <w:shd w:fill="auto" w:val="clear"/>
                <w:rtl w:val="0"/>
              </w:rPr>
              <w:t xml:space="preserve">Broker:</w:t>
            </w:r>
            <w:r w:rsidDel="00000000" w:rsidR="00000000" w:rsidRPr="00000000">
              <w:rPr>
                <w:rFonts w:ascii="Arial" w:cs="Arial" w:eastAsia="Arial" w:hAnsi="Arial"/>
                <w:color w:val="1f1f1f"/>
                <w:shd w:fill="auto" w:val="clear"/>
                <w:rtl w:val="0"/>
              </w:rPr>
              <w:t xml:space="preserve"> CBRE.</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site carries a long history of severe environmental contamination. Soil and groundwater testing conducted in April 2020 at the HBNC parcels confirmed concentrations of hexavalent chromium (Chromium-6)—a potent human carcinogen—as high as 820 µg/kg to 980 µg/kg, representing a level approximately 49 times the legal health-protective safety limit established for sensitive land uses.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subsurface toxic contamination plume also contained actionable levels of lead, arsenic, and legacy agricultural pesticides (toxaphene and 4,4'-DDE). An unsealed, historical deep-zone agricultural well (Well W-4150 / State Well No. 05S/11W-25M09) sits directly under the footprint of the shelter. Because it was never properly destroyed or backfilled, it creates a vertical conduit allowing surface-level contaminant plumes to bypass natural soil filtration and migrate directly into regional freshwater aquifers, while simultaneously allowing toxic soil gases to vent upward into living spaces.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these hazards, OCHCA certified the cleanup case as closed on August 21, 2020, on the condition that a permanent asphalt pavement cover encapsulate the subsurface contaminants.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Forensic audits allege that municipal and health agency personnel manually manipulated digital records within the State Water Resources Control Board's public </w:t>
      </w:r>
      <w:r w:rsidDel="00000000" w:rsidR="00000000" w:rsidRPr="00000000">
        <w:rPr>
          <w:rFonts w:ascii="Arial" w:cs="Arial" w:eastAsia="Arial" w:hAnsi="Arial"/>
          <w:b w:val="1"/>
          <w:bCs w:val="1"/>
          <w:color w:val="1f1f1f"/>
          <w:rtl w:val="0"/>
        </w:rPr>
        <w:t xml:space="preserve">GeoTracker database</w:t>
      </w:r>
      <w:r w:rsidDel="00000000" w:rsidR="00000000" w:rsidRPr="00000000">
        <w:rPr>
          <w:rFonts w:ascii="Arial" w:cs="Arial" w:eastAsia="Arial" w:hAnsi="Arial"/>
          <w:color w:val="1f1f1f"/>
          <w:rtl w:val="0"/>
        </w:rPr>
        <w:t xml:space="preserve"> (Global ID: T10000018579) to manufacture an environmental clearance. Detections of hexavalent chromium and lead were stripped from the public portal and replaced with the generic label "NONE SPECIFIED" to avoid triggering automated alerts to state monitors.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city reportedly maintained duplicate GeoTracker Global IDs for the same location, allowing it to submit a sanitized, "clean" file to housing authorities to secure the $6.1 million in LMIHAF capital before a forfeiture deadline, while burying the hazard data in a secondary, hidden file.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issues led to active federal environmental litigation: </w:t>
      </w:r>
      <w:r w:rsidDel="00000000" w:rsidR="00000000" w:rsidRPr="00000000">
        <w:rPr>
          <w:rFonts w:ascii="Arial" w:cs="Arial" w:eastAsia="Arial" w:hAnsi="Arial"/>
          <w:i w:val="1"/>
          <w:iCs w:val="1"/>
          <w:color w:val="1f1f1f"/>
          <w:rtl w:val="0"/>
        </w:rPr>
        <w:t xml:space="preserve">Jesse Knabb v. City of Huntington Beach, et al.</w:t>
      </w:r>
      <w:r w:rsidDel="00000000" w:rsidR="00000000" w:rsidRPr="00000000">
        <w:rPr>
          <w:rFonts w:ascii="Arial" w:cs="Arial" w:eastAsia="Arial" w:hAnsi="Arial"/>
          <w:color w:val="1f1f1f"/>
          <w:rtl w:val="0"/>
        </w:rPr>
        <w:t xml:space="preserve"> (Case No. 8:2026cv00348), filed on February 14, 2026, in the United States District Court for the Central District of California.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Assigned to Judge John W. Holcomb and referred to Magistrate Judge Autumn D. Spaeth, the action seeks recovery for environmental cleanup expenses and personal injury damages under 42 U.S.C. Section 6901.</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plaintiff, Jesse Knabb, a disabled individual who resided at the HBNC from November 2022 through October 2024, alleges that Mercy House systematically degraded the thin, protective asphalt containment barrier through daily high-pressure power washing.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routine maintenance actively degraded the asphalt binder, mobilizing and aerosolizing the toxic heavy metal particles and pesticides into a fine mist that was directly inhaled by unhoused residents and staff, causing permanent physical injuries and systemic illness.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challenge the regulatory actions, a formal petition (Petition A-2926) was filed with the California State Water Resources Control Board on November 15, 2025, seeking to void OCHCA's "Case Closed" certificate.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Whistleblower Disclosures, Case Integrity, and Associated Networks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DiMarcello's technical and legal framework utilizes highly specialized federal and state reporting pipelines to bypass regional interference and protect the integrity of his evidence.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He successfully logged 74 distinct ingestions into the CFTC whistleblower database, 58 encrypted uploads into the SEC TCR portal, and 82 secure uploads to the GAO FraudNet pipeline under Control Number COMP-26-004512, documenting the systemic misappropriation of restricted municipal and HUD grant funding.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 personal and professional network contains several key individuals who are deeply documented within his correspondence and legal files:</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Erika DiMarcello (Sister):</w:t>
      </w:r>
      <w:r w:rsidDel="00000000" w:rsidR="00000000" w:rsidRPr="00000000">
        <w:rPr>
          <w:rFonts w:ascii="Arial" w:cs="Arial" w:eastAsia="Arial" w:hAnsi="Arial"/>
          <w:color w:val="1f1f1f"/>
          <w:rtl w:val="0"/>
        </w:rPr>
        <w:t xml:space="preserve"> Born May 2, 1985, residing at 6 Dickinson Lane, Manalapan, New Jersey 07726. She is a highly decorated Detective in the High Profile Crimes Unit and a former SWAT officer. She was listed as his emergency contact on his 2020 rental application for "Woodbridge" in Irvine, and was copied on California Department of Social Services communications in May 2024. She has acted as a key secure recipient for vital records shipped via VitalChek.</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Simone DiMarcello / Simone Bender (Sister):</w:t>
      </w:r>
      <w:r w:rsidDel="00000000" w:rsidR="00000000" w:rsidRPr="00000000">
        <w:rPr>
          <w:rFonts w:ascii="Arial" w:cs="Arial" w:eastAsia="Arial" w:hAnsi="Arial"/>
          <w:color w:val="1f1f1f"/>
          <w:rtl w:val="0"/>
        </w:rPr>
        <w:t xml:space="preserve"> Born October 11, 1987, she is a Registered Nurse and Government Administrator. Her husband is Officer Bender, an active member of the SWAT Gang and Organized Crime Unit. She is active on social media under the name "Simone DiMarcello Bender".</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Elizabeth Tina Petruccio (Mother):</w:t>
      </w:r>
      <w:r w:rsidDel="00000000" w:rsidR="00000000" w:rsidRPr="00000000">
        <w:rPr>
          <w:rFonts w:ascii="Arial" w:cs="Arial" w:eastAsia="Arial" w:hAnsi="Arial"/>
          <w:color w:val="1f1f1f"/>
          <w:rtl w:val="0"/>
        </w:rPr>
        <w:t xml:space="preserve"> Resided with DiMarcello in Irvine, California, and was directly impacted by the August 2021 eviction. She was forced to relocate to San Diego to receive affordable care after her disability process was halted by the lockout.</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Dean Innocenzi (Partner):</w:t>
      </w:r>
      <w:r w:rsidDel="00000000" w:rsidR="00000000" w:rsidRPr="00000000">
        <w:rPr>
          <w:rFonts w:ascii="Arial" w:cs="Arial" w:eastAsia="Arial" w:hAnsi="Arial"/>
          <w:color w:val="1f1f1f"/>
          <w:rtl w:val="0"/>
        </w:rPr>
        <w:t xml:space="preserve"> DiMarcello's long-term business partner and co-designer. He is a custom furniture and CNC designer based in Hamilton, New Jersey, who cares for their certified therapy dog, Tech.</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addition to his direct family and professional partners, DiMarcello’s investigative research focuses on several key local entities and networks:</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Joseph Chris Bonura (Alias Robert E. Lowenberg):</w:t>
      </w:r>
      <w:r w:rsidDel="00000000" w:rsidR="00000000" w:rsidRPr="00000000">
        <w:rPr>
          <w:rFonts w:ascii="Arial" w:cs="Arial" w:eastAsia="Arial" w:hAnsi="Arial"/>
          <w:color w:val="1f1f1f"/>
          <w:rtl w:val="0"/>
        </w:rPr>
        <w:t xml:space="preserve"> A primary target of DiMarcello's public registry audits.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Dossiers generated in February 2026 associate him with the email address letsfuk2cum@yahoo.com and a multi-state network of high-density residential addresses in Laplace, Louisiana, Metairie, Louisiana, and Huntington Beach, California (including 206 Springfield Ave Apt A and 16761 Viewpoint Lane Apt 288).</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Surf City Church:</w:t>
      </w:r>
      <w:r w:rsidDel="00000000" w:rsidR="00000000" w:rsidRPr="00000000">
        <w:rPr>
          <w:rFonts w:ascii="Arial" w:cs="Arial" w:eastAsia="Arial" w:hAnsi="Arial"/>
          <w:color w:val="1f1f1f"/>
          <w:rtl w:val="0"/>
        </w:rPr>
        <w:t xml:space="preserve"> His files document the high-profile closure and contentious property eviction of this historic Huntington Beach congregation. The litigation involved the United Method Church (UMC) California-Pacific Annual Conference (Cal-Pac) and its utilizing of the denominational "Trust Clause" to seize the real property asset for corporate monetization.</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Andrew Do / Viet America Society Corruption Scheme:</w:t>
      </w:r>
      <w:r w:rsidDel="00000000" w:rsidR="00000000" w:rsidRPr="00000000">
        <w:rPr>
          <w:rFonts w:ascii="Arial" w:cs="Arial" w:eastAsia="Arial" w:hAnsi="Arial"/>
          <w:color w:val="1f1f1f"/>
          <w:rtl w:val="0"/>
        </w:rPr>
        <w:t xml:space="preserve"> His defense framework links his active misdemeanor charges to retaliatory "framing" connected to his investigations into the Andrew Do and Viet America Society (VAS) corruption scandal.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Do, a former Orange County Supervisor, resigned in October 2024 and pleaded guilty to federal bribery charges after directing up to $13.5 million in COVID-19 pandemic relief funds to VAS, a non-profit led by his daughter, Rhiannon Do.</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Federal indictments unsealed in June 2025 charged VAS founder Peter Anh Pham and Hand-to-Hand Relief Organization CEO Thanh Huong Nguyen with conspiracy, wire fraud, and money laundering.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Pham is currently classified as a fugitive from justice, having fled the United States to Taiwan in late 2024, while Nguyen has entered a plea of not guilty.</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systemic corruption prompted the Orange County Board of Supervisors to hire the forensic auditing firm Weaver &amp; Tidwell, LLP, to conduct a comprehensive review of over 2,000 county contracts worth over $4 billion, prioritizing sole-source agreements and human services programs funded during the pandemic.</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Audit and BigQuery Integration Architecture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vertAlign w:val="superscript"/>
        </w:rPr>
      </w:pPr>
      <w:r w:rsidDel="00000000" w:rsidR="00000000" w:rsidRPr="00000000">
        <w:rPr>
          <w:rFonts w:ascii="Arial" w:cs="Arial" w:eastAsia="Arial" w:hAnsi="Arial"/>
          <w:color w:val="1f1f1f"/>
          <w:rtl w:val="0"/>
        </w:rPr>
        <w:t xml:space="preserve">To establish a permanent, immutable digital record of these systemic connections, DiMarcello engineered a custom relational database structure within the Google Cloud Platform (Project ID: noble-beanbag-497411-m4) under the dataset ID national_audits and table name all_state_records.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database utilizes a highly optimized </w:t>
      </w:r>
      <w:r w:rsidDel="00000000" w:rsidR="00000000" w:rsidRPr="00000000">
        <w:rPr>
          <w:rtl w:val="0"/>
        </w:rPr>
        <w:t xml:space="preserve">5-stream nested array schema to prevent row multiplication and data corruption during multi-variable queries.</w:t>
      </w:r>
      <w:r w:rsidDel="00000000" w:rsidR="00000000" w:rsidRPr="00000000">
        <w:rPr>
          <w:vertAlign w:val="superscript"/>
          <w:rtl w:val="0"/>
        </w:rPr>
        <w:t xml:space="preserve">1</w:t>
      </w:r>
      <w:r w:rsidDel="00000000" w:rsidR="00000000" w:rsidRPr="00000000">
        <w:rPr>
          <w:rtl w:val="0"/>
        </w:rPr>
        <w:t xml:space="preserve"> This architecture is designed to map performance audits, HUD Point-in-Time census counts, Continuum of Care funding, the Non-Profiteers Index (NPI), and GeoTracker environmental hazard parameters side-by-side.</w:t>
      </w:r>
      <w:r w:rsidDel="00000000" w:rsidR="00000000" w:rsidRPr="00000000">
        <w:rPr>
          <w:vertAlign w:val="superscript"/>
          <w:rtl w:val="0"/>
        </w:rPr>
        <w:t xml:space="preserve">1</w:t>
      </w:r>
    </w:p>
    <w:p w:rsidR="00000000" w:rsidDel="00000000" w:rsidP="00000000" w:rsidRDefault="00000000" w:rsidRPr="00000000" w14:paraId="000000BF">
      <w:pPr>
        <w:rPr>
          <w:vertAlign w:val="superscript"/>
        </w:rPr>
      </w:pPr>
      <w:r w:rsidDel="00000000" w:rsidR="00000000" w:rsidRPr="00000000">
        <w:rPr>
          <w:rtl w:val="0"/>
        </w:rPr>
      </w:r>
    </w:p>
    <w:p w:rsidR="00000000" w:rsidDel="00000000" w:rsidP="00000000" w:rsidRDefault="00000000" w:rsidRPr="00000000" w14:paraId="000000C0">
      <w:pPr>
        <w:rPr>
          <w:vertAlign w:val="superscript"/>
        </w:rPr>
      </w:pPr>
      <w:r w:rsidDel="00000000" w:rsidR="00000000" w:rsidRPr="00000000">
        <w:rPr>
          <w:rtl w:val="0"/>
        </w:rPr>
      </w:r>
    </w:p>
    <w:p w:rsidR="00000000" w:rsidDel="00000000" w:rsidP="00000000" w:rsidRDefault="00000000" w:rsidRPr="00000000" w14:paraId="000000C1">
      <w:pPr>
        <w:rPr>
          <w:vertAlign w:val="superscrip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SQL</w:t>
      </w:r>
    </w:p>
    <w:p w:rsidR="00000000" w:rsidDel="00000000" w:rsidP="00000000" w:rsidRDefault="00000000" w:rsidRPr="00000000" w14:paraId="000000C3">
      <w:pPr>
        <w:rPr/>
      </w:pPr>
      <w:r w:rsidDel="00000000" w:rsidR="00000000" w:rsidRPr="00000000">
        <w:rPr>
          <w:rtl w:val="0"/>
        </w:rPr>
        <w:t xml:space="preserve">-- MASTER SCHEMA LOCK: RUN THIS ONCE TO ESTABLISH THE FULL 5-STREAM MATRIX</w:t>
        <w:br w:type="textWrapping"/>
        <w:t xml:space="preserve">-- This locks in the environment layer for the 49x Hexavalent Chromium parameters.</w:t>
        <w:br w:type="textWrapping"/>
        <w:t xml:space="preserve">CREATE OR REPLACE TABLE `noble-beanbag-497411-m4.national_audits.all_state_records` (</w:t>
        <w:br w:type="textWrapping"/>
        <w:t xml:space="preserve">  state STRING, -- The absolute state anchor (e.g., 'CA', 'NY')</w:t>
        <w:br w:type="textWrapping"/>
        <w:t xml:space="preserve">  total_performance_audits INT64,</w:t>
        <w:br w:type="textWrapping"/>
        <w:t xml:space="preserve">  last_updated_at TIMESTAMP,</w:t>
        <w:br w:type="textWrapping"/>
        <w:t xml:space="preserve">  </w:t>
        <w:br w:type="textWrapping"/>
        <w:t xml:space="preserve">  -- Stream 1: State Performance Audits</w:t>
        <w:br w:type="textWrapping"/>
        <w:t xml:space="preserve">  performance_audit_list ARRAY&lt;STRUCT&lt;</w:t>
        <w:br w:type="textWrapping"/>
        <w:t xml:space="preserve">    audit_id STRING, </w:t>
        <w:br w:type="textWrapping"/>
        <w:t xml:space="preserve">    report_num STRING, </w:t>
        <w:br w:type="textWrapping"/>
        <w:t xml:space="preserve">    release_date DATE, </w:t>
        <w:br w:type="textWrapping"/>
        <w:t xml:space="preserve">    agency_audited STRING, </w:t>
        <w:br w:type="textWrapping"/>
        <w:t xml:space="preserve">    report_title STRING, </w:t>
        <w:br w:type="textWrapping"/>
        <w:t xml:space="preserve">    primary_finding_summary STRING, </w:t>
        <w:br w:type="textWrapping"/>
        <w:t xml:space="preserve">    taxpayer_funds_reviewed NUMERIC, </w:t>
        <w:br w:type="textWrapping"/>
        <w:t xml:space="preserve">    pdf_download_url STRING</w:t>
        <w:br w:type="textWrapping"/>
        <w:t xml:space="preserve">  &gt;&gt;,</w:t>
        <w:br w:type="textWrapping"/>
        <w:br w:type="textWrapping"/>
        <w:t xml:space="preserve">  -- Stream 2: HUD PIT (Point-in-Time) Counts</w:t>
        <w:br w:type="textWrapping"/>
        <w:t xml:space="preserve">  hud_pit_list ARRAY&lt;STRUCT&lt;</w:t>
        <w:br w:type="textWrapping"/>
        <w:t xml:space="preserve">    count_year INT64, </w:t>
        <w:br w:type="textWrapping"/>
        <w:t xml:space="preserve">    coc_number STRING, </w:t>
        <w:br w:type="textWrapping"/>
        <w:t xml:space="preserve">    coc_name STRING, </w:t>
        <w:br w:type="textWrapping"/>
        <w:t xml:space="preserve">    total_homeless INT64, </w:t>
        <w:br w:type="textWrapping"/>
        <w:t xml:space="preserve">    sheltered_homeless INT64, </w:t>
        <w:br w:type="textWrapping"/>
        <w:t xml:space="preserve">    unsheltered_homeless INT64</w:t>
        <w:br w:type="textWrapping"/>
        <w:t xml:space="preserve">  &gt;&gt;,</w:t>
        <w:br w:type="textWrapping"/>
        <w:br w:type="textWrapping"/>
        <w:t xml:space="preserve">  -- Stream 3: CoC Continuum of Care Awards/Metrics</w:t>
        <w:br w:type="textWrapping"/>
        <w:t xml:space="preserve">  coc_continuum_list ARRAY&lt;STRUCT&lt;</w:t>
        <w:br w:type="textWrapping"/>
        <w:t xml:space="preserve">    fiscal_year INT64, </w:t>
        <w:br w:type="textWrapping"/>
        <w:t xml:space="preserve">    coc_number STRING, </w:t>
        <w:br w:type="textWrapping"/>
        <w:t xml:space="preserve">    program_type STRING, </w:t>
        <w:br w:type="textWrapping"/>
        <w:t xml:space="preserve">    award_amount NUMERIC</w:t>
        <w:br w:type="textWrapping"/>
        <w:t xml:space="preserve">  &gt;&gt;,</w:t>
        <w:br w:type="textWrapping"/>
        <w:br w:type="textWrapping"/>
        <w:t xml:space="preserve">  -- Stream 4: Non-Profiteers Index (NPI) &amp; Corporate Integration</w:t>
        <w:br w:type="textWrapping"/>
        <w:t xml:space="preserve">  non_profiteers_index ARRAY&lt;STRUCT&lt;</w:t>
        <w:br w:type="textWrapping"/>
        <w:t xml:space="preserve">    npi_id STRING, </w:t>
        <w:br w:type="textWrapping"/>
        <w:t xml:space="preserve">    organization_name STRING, </w:t>
        <w:br w:type="textWrapping"/>
        <w:t xml:space="preserve">    opencorporates_url STRING, </w:t>
        <w:br w:type="textWrapping"/>
        <w:t xml:space="preserve">    cms_billing_code STRING, </w:t>
        <w:br w:type="textWrapping"/>
        <w:t xml:space="preserve">    truthfinder_link STRING, </w:t>
        <w:br w:type="textWrapping"/>
        <w:t xml:space="preserve">    task_tracking_url STRING, </w:t>
        <w:br w:type="textWrapping"/>
        <w:t xml:space="preserve">    unaccounted_fund_delta NUMERIC</w:t>
        <w:br w:type="textWrapping"/>
        <w:t xml:space="preserve">  &gt;&gt;,</w:t>
        <w:br w:type="textWrapping"/>
        <w:br w:type="textWrapping"/>
        <w:t xml:space="preserve">  -- Stream 5: Environmental Hazards &amp; Site Contamination Logs</w:t>
        <w:br w:type="textWrapping"/>
        <w:t xml:space="preserve">  environmental_site_assessments ARRAY&lt;STRUCT&lt;</w:t>
        <w:br w:type="textWrapping"/>
        <w:t xml:space="preserve">    site_id STRING,</w:t>
        <w:br w:type="textWrapping"/>
        <w:t xml:space="preserve">    location_name STRING,</w:t>
        <w:br w:type="textWrapping"/>
        <w:t xml:space="preserve">    contaminant_type STRING,</w:t>
        <w:br w:type="textWrapping"/>
        <w:t xml:space="preserve">    test_multiplier NUMERIC, -- e.g., 49.00 for 49x statutory action limit</w:t>
        <w:br w:type="textWrapping"/>
        <w:t xml:space="preserve">    geotracker_url STRING,</w:t>
        <w:br w:type="textWrapping"/>
        <w:t xml:space="preserve">    closure_status STRING   -- Tracks 'Disputed', 'Fraudulent', or 'Open' state flags</w:t>
        <w:br w:type="textWrapping"/>
        <w:t xml:space="preserve">  &gt;&gt;</w:t>
        <w:br w:type="textWrapping"/>
        <w:t xml:space="preserve">);</w:t>
        <w:br w:type="textWrapping"/>
      </w:r>
    </w:p>
    <w:p w:rsidR="00000000" w:rsidDel="00000000" w:rsidP="00000000" w:rsidRDefault="00000000" w:rsidRPr="00000000" w14:paraId="000000C4">
      <w:pPr>
        <w:rPr>
          <w:vertAlign w:val="superscript"/>
        </w:rPr>
      </w:pPr>
      <w:r w:rsidDel="00000000" w:rsidR="00000000" w:rsidRPr="00000000">
        <w:rPr>
          <w:rtl w:val="0"/>
        </w:rPr>
        <w:t xml:space="preserve">This database framework acts as the operational database for a custom autonomous agent configured within Vertex AI.</w:t>
      </w:r>
      <w:r w:rsidDel="00000000" w:rsidR="00000000" w:rsidRPr="00000000">
        <w:rPr>
          <w:vertAlign w:val="superscript"/>
          <w:rtl w:val="0"/>
        </w:rPr>
        <w:t xml:space="preserve">1</w:t>
      </w:r>
      <w:r w:rsidDel="00000000" w:rsidR="00000000" w:rsidRPr="00000000">
        <w:rPr>
          <w:rtl w:val="0"/>
        </w:rPr>
        <w:t xml:space="preserve"> The agent utilizes the Gemini 1.5 Pro runtime node to autonomously execute SQL queries against the table partitions, cross-referencing nested arrays of public funds received against physical population and environmental parameters.</w:t>
      </w:r>
      <w:r w:rsidDel="00000000" w:rsidR="00000000" w:rsidRPr="00000000">
        <w:rPr>
          <w:vertAlign w:val="superscript"/>
          <w:rtl w:val="0"/>
        </w:rPr>
        <w:t xml:space="preserve">1</w:t>
      </w:r>
    </w:p>
    <w:p w:rsidR="00000000" w:rsidDel="00000000" w:rsidP="00000000" w:rsidRDefault="00000000" w:rsidRPr="00000000" w14:paraId="000000C5">
      <w:pPr>
        <w:rPr>
          <w:vertAlign w:val="superscript"/>
        </w:rPr>
      </w:pPr>
      <w:r w:rsidDel="00000000" w:rsidR="00000000" w:rsidRPr="00000000">
        <w:rPr>
          <w:rtl w:val="0"/>
        </w:rPr>
        <w:t xml:space="preserve">By flattening the nested arrays using explicit UNNEST operations, the agent isolates structural discrepancies (</w:t>
      </w:r>
      <w:r w:rsidDel="00000000" w:rsidR="00000000" w:rsidRPr="00000000">
        <w:rPr/>
        <w:drawing>
          <wp:inline distB="19050" distT="19050" distL="19050" distR="19050">
            <wp:extent cx="485236" cy="2304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5236" cy="230487"/>
                    </a:xfrm>
                    <a:prstGeom prst="rect"/>
                    <a:ln/>
                  </pic:spPr>
                </pic:pic>
              </a:graphicData>
            </a:graphic>
          </wp:inline>
        </w:drawing>
      </w:r>
      <w:r w:rsidDel="00000000" w:rsidR="00000000" w:rsidRPr="00000000">
        <w:rPr>
          <w:rtl w:val="0"/>
        </w:rPr>
        <w:t xml:space="preserve">) and maps corporate entities, church network shells, and unaccounted fund deltas directly to historical regulatory filings and court message identifiers, ensuring an unbreakable, auditable chain of custody for upcoming judicial reviews.</w:t>
      </w:r>
      <w:r w:rsidDel="00000000" w:rsidR="00000000" w:rsidRPr="00000000">
        <w:rPr>
          <w:vertAlign w:val="superscript"/>
          <w:rtl w:val="0"/>
        </w:rPr>
        <w:t xml:space="preserve">1</w:t>
      </w:r>
    </w:p>
    <w:p w:rsidR="00000000" w:rsidDel="00000000" w:rsidP="00000000" w:rsidRDefault="00000000" w:rsidRPr="00000000" w14:paraId="000000C6">
      <w:pPr>
        <w:pStyle w:val="Heading4"/>
        <w:rPr/>
      </w:pPr>
      <w:r w:rsidDel="00000000" w:rsidR="00000000" w:rsidRPr="00000000">
        <w:rPr>
          <w:rtl w:val="0"/>
        </w:rPr>
        <w:t xml:space="preserve">Works cited</w:t>
      </w:r>
    </w:p>
    <w:p w:rsidR="00000000" w:rsidDel="00000000" w:rsidP="00000000" w:rsidRDefault="00000000" w:rsidRPr="00000000" w14:paraId="000000C7">
      <w:pPr>
        <w:numPr>
          <w:ilvl w:val="0"/>
          <w:numId w:val="3"/>
        </w:numPr>
        <w:ind w:left="600" w:hanging="360"/>
      </w:pPr>
      <w:r w:rsidDel="00000000" w:rsidR="00000000" w:rsidRPr="00000000">
        <w:rPr>
          <w:rtl w:val="0"/>
        </w:rPr>
        <w:t xml:space="preserve">TruthFinder Reports for Property Residents.pdf</w:t>
      </w:r>
    </w:p>
    <w:p w:rsidR="00000000" w:rsidDel="00000000" w:rsidP="00000000" w:rsidRDefault="00000000" w:rsidRPr="00000000" w14:paraId="000000C8">
      <w:pPr>
        <w:numPr>
          <w:ilvl w:val="0"/>
          <w:numId w:val="3"/>
        </w:numPr>
        <w:ind w:left="600" w:hanging="360"/>
      </w:pPr>
      <w:r w:rsidDel="00000000" w:rsidR="00000000" w:rsidRPr="00000000">
        <w:rPr>
          <w:rtl w:val="0"/>
        </w:rPr>
        <w:t xml:space="preserve">OC Supervisors Move Forward on Auditing Over $4 Billion After Bribery Scandal, accessed June 24, 2026, </w:t>
      </w:r>
      <w:hyperlink r:id="rId7">
        <w:r w:rsidDel="00000000" w:rsidR="00000000" w:rsidRPr="00000000">
          <w:rPr>
            <w:color w:val="1155cc"/>
            <w:u w:val="single"/>
            <w:rtl w:val="0"/>
          </w:rPr>
          <w:t xml:space="preserve">https://voiceofoc.org/2025/10/orange-county-supervisors-audit/</w:t>
        </w:r>
      </w:hyperlink>
      <w:r w:rsidDel="00000000" w:rsidR="00000000" w:rsidRPr="00000000">
        <w:rPr>
          <w:rtl w:val="0"/>
        </w:rPr>
      </w:r>
    </w:p>
    <w:p w:rsidR="00000000" w:rsidDel="00000000" w:rsidP="00000000" w:rsidRDefault="00000000" w:rsidRPr="00000000" w14:paraId="000000C9">
      <w:pPr>
        <w:numPr>
          <w:ilvl w:val="0"/>
          <w:numId w:val="3"/>
        </w:numPr>
        <w:ind w:left="600" w:hanging="360"/>
      </w:pPr>
      <w:r w:rsidDel="00000000" w:rsidR="00000000" w:rsidRPr="00000000">
        <w:rPr>
          <w:rtl w:val="0"/>
        </w:rPr>
        <w:t xml:space="preserve">Whistleblower Timeline and Legal Analysis 2022-2026, </w:t>
      </w:r>
      <w:hyperlink r:id="rId8">
        <w:r w:rsidDel="00000000" w:rsidR="00000000" w:rsidRPr="00000000">
          <w:rPr>
            <w:color w:val="1155cc"/>
            <w:u w:val="single"/>
            <w:rtl w:val="0"/>
          </w:rPr>
          <w:t xml:space="preserve">https://drive.google.com/open?id=15aa_q06gRI3M9AXALEQb-JEn7F1-Nk0OiCjAlrOzs8w</w:t>
        </w:r>
      </w:hyperlink>
      <w:r w:rsidDel="00000000" w:rsidR="00000000" w:rsidRPr="00000000">
        <w:rPr>
          <w:rtl w:val="0"/>
        </w:rPr>
      </w:r>
    </w:p>
    <w:p w:rsidR="00000000" w:rsidDel="00000000" w:rsidP="00000000" w:rsidRDefault="00000000" w:rsidRPr="00000000" w14:paraId="000000CA">
      <w:pPr>
        <w:numPr>
          <w:ilvl w:val="0"/>
          <w:numId w:val="3"/>
        </w:numPr>
        <w:ind w:left="600" w:hanging="360"/>
      </w:pPr>
      <w:r w:rsidDel="00000000" w:rsidR="00000000" w:rsidRPr="00000000">
        <w:rPr>
          <w:rtl w:val="0"/>
        </w:rPr>
        <w:t xml:space="preserve">Fwd: Eviction Of Anthony DiMarcello III, </w:t>
      </w:r>
      <w:hyperlink r:id="rId9">
        <w:r w:rsidDel="00000000" w:rsidR="00000000" w:rsidRPr="00000000">
          <w:rPr>
            <w:color w:val="1155cc"/>
            <w:u w:val="single"/>
            <w:rtl w:val="0"/>
          </w:rPr>
          <w:t xml:space="preserve">https://mail.google.com/mail/u/0/#all/FMfcgzGkZsxHMzjxhGfczKjrtXFmcVCV</w:t>
        </w:r>
      </w:hyperlink>
      <w:r w:rsidDel="00000000" w:rsidR="00000000" w:rsidRPr="00000000">
        <w:rPr>
          <w:rtl w:val="0"/>
        </w:rPr>
      </w:r>
    </w:p>
    <w:p w:rsidR="00000000" w:rsidDel="00000000" w:rsidP="00000000" w:rsidRDefault="00000000" w:rsidRPr="00000000" w14:paraId="000000CB">
      <w:pPr>
        <w:numPr>
          <w:ilvl w:val="0"/>
          <w:numId w:val="3"/>
        </w:numPr>
        <w:ind w:left="600" w:hanging="360"/>
      </w:pPr>
      <w:r w:rsidDel="00000000" w:rsidR="00000000" w:rsidRPr="00000000">
        <w:rPr>
          <w:rtl w:val="0"/>
        </w:rPr>
        <w:t xml:space="preserve">Fwd: Casework Anthony Michael DiMarcello III - Please Help, </w:t>
      </w:r>
      <w:hyperlink r:id="rId10">
        <w:r w:rsidDel="00000000" w:rsidR="00000000" w:rsidRPr="00000000">
          <w:rPr>
            <w:color w:val="1155cc"/>
            <w:u w:val="single"/>
            <w:rtl w:val="0"/>
          </w:rPr>
          <w:t xml:space="preserve">https://mail.google.com/mail/u/0/#all/FMfcgzGmtNdjBQXDRLpqwcmKmHMmNGzg</w:t>
        </w:r>
      </w:hyperlink>
      <w:r w:rsidDel="00000000" w:rsidR="00000000" w:rsidRPr="00000000">
        <w:rPr>
          <w:rtl w:val="0"/>
        </w:rPr>
      </w:r>
    </w:p>
    <w:p w:rsidR="00000000" w:rsidDel="00000000" w:rsidP="00000000" w:rsidRDefault="00000000" w:rsidRPr="00000000" w14:paraId="000000CC">
      <w:pPr>
        <w:numPr>
          <w:ilvl w:val="0"/>
          <w:numId w:val="3"/>
        </w:numPr>
        <w:ind w:left="600" w:hanging="360"/>
      </w:pPr>
      <w:r w:rsidDel="00000000" w:rsidR="00000000" w:rsidRPr="00000000">
        <w:rPr>
          <w:rtl w:val="0"/>
        </w:rPr>
        <w:t xml:space="preserve">Project C, LLC v. Dennis Durham et al 8:2022cv02056 - Justia Dockets, accessed June 24, 2026, </w:t>
      </w:r>
      <w:hyperlink r:id="rId11">
        <w:r w:rsidDel="00000000" w:rsidR="00000000" w:rsidRPr="00000000">
          <w:rPr>
            <w:color w:val="1155cc"/>
            <w:u w:val="single"/>
            <w:rtl w:val="0"/>
          </w:rPr>
          <w:t xml:space="preserve">https://dockets.justia.com/docket/california/cacdce/8:2022cv02056/867757</w:t>
        </w:r>
      </w:hyperlink>
      <w:r w:rsidDel="00000000" w:rsidR="00000000" w:rsidRPr="00000000">
        <w:rPr>
          <w:rtl w:val="0"/>
        </w:rPr>
      </w:r>
    </w:p>
    <w:p w:rsidR="00000000" w:rsidDel="00000000" w:rsidP="00000000" w:rsidRDefault="00000000" w:rsidRPr="00000000" w14:paraId="000000CD">
      <w:pPr>
        <w:numPr>
          <w:ilvl w:val="0"/>
          <w:numId w:val="3"/>
        </w:numPr>
        <w:ind w:left="600" w:hanging="360"/>
      </w:pPr>
      <w:r w:rsidDel="00000000" w:rsidR="00000000" w:rsidRPr="00000000">
        <w:rPr>
          <w:rtl w:val="0"/>
        </w:rPr>
        <w:t xml:space="preserve">Research Report gemini relator , </w:t>
      </w:r>
      <w:hyperlink r:id="rId12">
        <w:r w:rsidDel="00000000" w:rsidR="00000000" w:rsidRPr="00000000">
          <w:rPr>
            <w:color w:val="1155cc"/>
            <w:u w:val="single"/>
            <w:rtl w:val="0"/>
          </w:rPr>
          <w:t xml:space="preserve">https://drive.google.com/open?id=1uLz7LoMNhEzzfjGLeBinckYdcAa1GPUnccWr8KeJa54</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 Anthony DiMarcello, </w:t>
      </w:r>
      <w:hyperlink r:id="rId13">
        <w:r w:rsidDel="00000000" w:rsidR="00000000" w:rsidRPr="00000000">
          <w:rPr>
            <w:rFonts w:ascii="Arial" w:cs="Arial" w:eastAsia="Arial" w:hAnsi="Arial"/>
            <w:color w:val="0000ee"/>
            <w:sz w:val="24"/>
            <w:szCs w:val="24"/>
            <w:u w:val="single"/>
            <w:rtl w:val="0"/>
          </w:rPr>
          <w:t xml:space="preserve">https://mail.google.com/mail/u/0/#all/FMfcgzGpHHKDTFcZqcrNPLXJQRzXmNWL</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Jesse Knabb v. City of Huntington Beach et al 8:2026cv00348 | U.S. District Court -for the Central District of California - Justia Dockets, accessed June 24, 2026, </w:t>
      </w:r>
      <w:hyperlink r:id="rId14">
        <w:r w:rsidDel="00000000" w:rsidR="00000000" w:rsidRPr="00000000">
          <w:rPr>
            <w:rFonts w:ascii="Arial" w:cs="Arial" w:eastAsia="Arial" w:hAnsi="Arial"/>
            <w:color w:val="0000ee"/>
            <w:sz w:val="24"/>
            <w:szCs w:val="24"/>
            <w:u w:val="single"/>
            <w:rtl w:val="0"/>
          </w:rPr>
          <w:t xml:space="preserve">https://dockets.justia.com/docket/california/cacdce/8:2026cv00348/1007201</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Andrew Do - Wikipedia, accessed June 24, 2026, </w:t>
      </w:r>
      <w:hyperlink r:id="rId15">
        <w:r w:rsidDel="00000000" w:rsidR="00000000" w:rsidRPr="00000000">
          <w:rPr>
            <w:rFonts w:ascii="Arial" w:cs="Arial" w:eastAsia="Arial" w:hAnsi="Arial"/>
            <w:color w:val="0000ee"/>
            <w:sz w:val="24"/>
            <w:szCs w:val="24"/>
            <w:u w:val="single"/>
            <w:rtl w:val="0"/>
          </w:rPr>
          <w:t xml:space="preserve">https://en.wikipedia.org/wiki/Andrew_Do</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is who? How to follow the unfolding fraud allegations in Orange County | LAist, accessed June 24, 2026, </w:t>
      </w:r>
      <w:hyperlink r:id="rId16">
        <w:r w:rsidDel="00000000" w:rsidR="00000000" w:rsidRPr="00000000">
          <w:rPr>
            <w:rFonts w:ascii="Arial" w:cs="Arial" w:eastAsia="Arial" w:hAnsi="Arial"/>
            <w:color w:val="0000ee"/>
            <w:sz w:val="24"/>
            <w:szCs w:val="24"/>
            <w:u w:val="single"/>
            <w:rtl w:val="0"/>
          </w:rPr>
          <w:t xml:space="preserve">https://laist.com/news/politics/andrew-do-explained-fraud-allegations-viet-america-society</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Founder of Nonprofit Charged in COVID-19 Fund Bribery Scheme - Fullerton Observer, accessed June 24, 2026, </w:t>
      </w:r>
      <w:hyperlink r:id="rId17">
        <w:r w:rsidDel="00000000" w:rsidR="00000000" w:rsidRPr="00000000">
          <w:rPr>
            <w:rFonts w:ascii="Arial" w:cs="Arial" w:eastAsia="Arial" w:hAnsi="Arial"/>
            <w:color w:val="0000ee"/>
            <w:sz w:val="24"/>
            <w:szCs w:val="24"/>
            <w:u w:val="single"/>
            <w:rtl w:val="0"/>
          </w:rPr>
          <w:t xml:space="preserve">https://fullertonobserver.com/2025/06/08/founder-of-nonprofit-charged-in-covid-19-fund-bribery-scheme/</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to do with $3.7M recovered from Andrew Do scheme? OC leaders to discuss Tuesday | LAist, accessed June 24, 2026, </w:t>
      </w:r>
      <w:hyperlink r:id="rId18">
        <w:r w:rsidDel="00000000" w:rsidR="00000000" w:rsidRPr="00000000">
          <w:rPr>
            <w:rFonts w:ascii="Arial" w:cs="Arial" w:eastAsia="Arial" w:hAnsi="Arial"/>
            <w:color w:val="0000ee"/>
            <w:sz w:val="24"/>
            <w:szCs w:val="24"/>
            <w:u w:val="single"/>
            <w:rtl w:val="0"/>
          </w:rPr>
          <w:t xml:space="preserve">https://laist.com/news/politics/andrew-do-scheme-money-discussion</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6 questions we still have after disgraced former OC Supervisor Andrew Do's sentencing | LAist, accessed June 24, 2026, </w:t>
      </w:r>
      <w:hyperlink r:id="rId19">
        <w:r w:rsidDel="00000000" w:rsidR="00000000" w:rsidRPr="00000000">
          <w:rPr>
            <w:rFonts w:ascii="Arial" w:cs="Arial" w:eastAsia="Arial" w:hAnsi="Arial"/>
            <w:color w:val="0000ee"/>
            <w:sz w:val="24"/>
            <w:szCs w:val="24"/>
            <w:u w:val="single"/>
            <w:rtl w:val="0"/>
          </w:rPr>
          <w:t xml:space="preserve">https://laist.com/news/politics/6-questions-we-still-have-after-disgraced-former-oc-supervisor-andrew-dos-sentencing</w:t>
        </w:r>
      </w:hyperlink>
      <w:r w:rsidDel="00000000" w:rsidR="00000000" w:rsidRPr="00000000">
        <w:rPr>
          <w:rtl w:val="0"/>
        </w:rPr>
        <w:t xml:space="preserve">====--</w:t>
      </w:r>
      <w:hyperlink r:id="rId20">
        <w:r w:rsidDel="00000000" w:rsidR="00000000" w:rsidRPr="00000000">
          <w:rPr>
            <w:rFonts w:ascii="Arial" w:cs="Arial" w:eastAsia="Arial" w:hAnsi="Arial"/>
            <w:color w:val="0000ee"/>
            <w:sz w:val="24"/>
            <w:szCs w:val="24"/>
            <w:u w:val="single"/>
            <w:rtl w:val="0"/>
          </w:rPr>
          <w:t xml:space="preserve">https://content.govdelivery.com/accounts/CAORANGE/bulletins/3f769cb</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tent.govdelivery.com/accounts/CAORANGE/bulletins/3f769cb" TargetMode="External"/><Relationship Id="rId11" Type="http://schemas.openxmlformats.org/officeDocument/2006/relationships/hyperlink" Target="https://dockets.justia.com/docket/california/cacdce/8:2022cv02056/867757" TargetMode="External"/><Relationship Id="rId10" Type="http://schemas.openxmlformats.org/officeDocument/2006/relationships/hyperlink" Target="https://mail.google.com/mail/u/0/#all/FMfcgzGmtNdjBQXDRLpqwcmKmHMmNGzg" TargetMode="External"/><Relationship Id="rId13" Type="http://schemas.openxmlformats.org/officeDocument/2006/relationships/hyperlink" Target="https://mail.google.com/mail/u/0/#all/FMfcgzGpHHKDTFcZqcrNPLXJQRzXmNWL" TargetMode="External"/><Relationship Id="rId12" Type="http://schemas.openxmlformats.org/officeDocument/2006/relationships/hyperlink" Target="https://drive.google.com/open?id=1uLz7LoMNhEzzfjGLeBinckYdcAa1GPUnccWr8KeJa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l.google.com/mail/u/0/#all/FMfcgzGkZsxHMzjxhGfczKjrtXFmcVCV" TargetMode="External"/><Relationship Id="rId15" Type="http://schemas.openxmlformats.org/officeDocument/2006/relationships/hyperlink" Target="https://en.wikipedia.org/wiki/Andrew_Do" TargetMode="External"/><Relationship Id="rId14" Type="http://schemas.openxmlformats.org/officeDocument/2006/relationships/hyperlink" Target="https://dockets.justia.com/docket/california/cacdce/8:2026cv00348/1007201" TargetMode="External"/><Relationship Id="rId17" Type="http://schemas.openxmlformats.org/officeDocument/2006/relationships/hyperlink" Target="https://fullertonobserver.com/2025/06/08/founder-of-nonprofit-charged-in-covid-19-fund-bribery-scheme/" TargetMode="External"/><Relationship Id="rId16" Type="http://schemas.openxmlformats.org/officeDocument/2006/relationships/hyperlink" Target="https://laist.com/news/politics/andrew-do-explained-fraud-allegations-viet-america-society" TargetMode="External"/><Relationship Id="rId5" Type="http://schemas.openxmlformats.org/officeDocument/2006/relationships/styles" Target="styles.xml"/><Relationship Id="rId19" Type="http://schemas.openxmlformats.org/officeDocument/2006/relationships/hyperlink" Target="https://laist.com/news/politics/6-questions-we-still-have-after-disgraced-former-oc-supervisor-andrew-dos-sentencing" TargetMode="External"/><Relationship Id="rId6" Type="http://schemas.openxmlformats.org/officeDocument/2006/relationships/image" Target="media/image1.png"/><Relationship Id="rId18" Type="http://schemas.openxmlformats.org/officeDocument/2006/relationships/hyperlink" Target="https://laist.com/news/politics/andrew-do-scheme-money-discussion" TargetMode="External"/><Relationship Id="rId7" Type="http://schemas.openxmlformats.org/officeDocument/2006/relationships/hyperlink" Target="https://voiceofoc.org/2025/10/orange-county-supervisors-audit/" TargetMode="External"/><Relationship Id="rId8" Type="http://schemas.openxmlformats.org/officeDocument/2006/relationships/hyperlink" Target="https://drive.google.com/open?id=15aa_q06gRI3M9AXALEQb-JEn7F1-Nk0OiCjAlrOzs8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