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 THE SUPERIOR COURT OF THE STATE OF CALIFORNIA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IN AND FOR THE COUNTY OF ORANGE</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THE STATE OF CALIFORNIA ex rel. ANTHONY DIMARCELLO III,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Plaintiff/Relator,</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CITY OF HUNTINGTON BEACH; ORANGE COUNTY HEALTH CARE AGENCY (OCHCA); MERCY HOUSE LIVING CENTERS; SHEA HOMES LP; AND DOES 1-100,</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300" w:lineRule="auto"/>
        <w:rPr>
          <w:i w:val="1"/>
          <w:iCs w:val="1"/>
        </w:rPr>
      </w:pPr>
      <w:r w:rsidDel="00000000" w:rsidR="00000000" w:rsidRPr="00000000">
        <w:rPr>
          <w:i w:val="1"/>
          <w:iCs w:val="1"/>
          <w:rtl w:val="0"/>
        </w:rPr>
        <w:t xml:space="preserve">Defendants.</w:t>
      </w:r>
    </w:p>
    <w:p w:rsidR="00000000" w:rsidDel="00000000" w:rsidP="00000000" w:rsidRDefault="00000000" w:rsidRPr="00000000" w14:paraId="00000008">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pict>
          <v:rect style="width:0.0pt;height:1.5pt" o:hr="t" o:hrstd="t" o:hralign="center" fillcolor="#A0A0A0" stroked="f"/>
        </w:pict>
      </w:r>
      <w:r w:rsidDel="00000000" w:rsidR="00000000" w:rsidRPr="00000000">
        <w:rPr>
          <w:rtl w:val="0"/>
        </w:rPr>
        <w:t xml:space="preserve">I. INTRODUCTION AND EXECUTIVE SUMMARY</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is a Qui Tam action brought on behalf of the State of California by Relator Anthony Michael DiMarcello III to recover treble damages and civil penalties arising from a highly sophisticated, multi-jurisdictional racketeering enterprise and fraudulent scheme operating within and extending far beyond Orange County, California. This network has systematically diverted tens of millions of dollars in federal and state relief funds—including monies derived from the Coronavirus Aid, Relief, and Economic Security (CARES) Act, the American Rescue Plan Act (ARPA), and California’s Low-and-Moderate-Income Housing Asset Fund (LMIHAF).</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enterprise operates through a multi-tiered nexus involving corrupt public officials, fraudulent or captured nonprofit organizations, and real estate developer conduits. At its core, the conspiracy involved the illegal parking of millions in restricted affordable housing funds before statutory forfeiture deadlines, followed by the deliberate placement and operation of a temporary congregate homeless shelter on a severely contaminated Tier 3 toxic hazardous waste site. To sustain and monetize this operation, Defendants engaged in systematic per-capita billing fraud under California’s Advancing and Innovating Medi-Cal (CalAIM) program, exploiting vulnerable individuals as perpetual revenue streams while actively suppressing internal whistleblowers and victims through institutional retaliation, weaponized law enforcement protocols, and unauthorized identity manipulation.</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PARTIES AND STANDING</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Relator Anthony Michael DiMarcello III:</w:t>
      </w:r>
      <w:r w:rsidDel="00000000" w:rsidR="00000000" w:rsidRPr="00000000">
        <w:rPr>
          <w:rtl w:val="0"/>
        </w:rPr>
        <w:t xml:space="preserve"> A professional fiduciary, former futures broker, and former resident of the Huntington Beach Navigation Center (HBNC). Relator possesses direct, independent, and firsthand knowledge of the fraudulent transactions, regulatory evasions, and subsequent identity interference detailed herein.</w:t>
      </w:r>
    </w:p>
    <w:p w:rsidR="00000000" w:rsidDel="00000000" w:rsidP="00000000" w:rsidRDefault="00000000" w:rsidRPr="00000000" w14:paraId="000000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Defendant City of Huntington Beach:</w:t>
      </w:r>
      <w:r w:rsidDel="00000000" w:rsidR="00000000" w:rsidRPr="00000000">
        <w:rPr>
          <w:rtl w:val="0"/>
        </w:rPr>
        <w:t xml:space="preserve"> A municipal corporation organized under the laws of the State of California, acting as the primary political and procurement hub of the enterprise.</w:t>
      </w:r>
    </w:p>
    <w:p w:rsidR="00000000" w:rsidDel="00000000" w:rsidP="00000000" w:rsidRDefault="00000000" w:rsidRPr="00000000" w14:paraId="000000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Defendant Orange County Health Care Agency (OCHCA):</w:t>
      </w:r>
      <w:r w:rsidDel="00000000" w:rsidR="00000000" w:rsidRPr="00000000">
        <w:rPr>
          <w:rtl w:val="0"/>
        </w:rPr>
        <w:t xml:space="preserve"> The county administrative agency responsible for public health oversight, which actively facilitated the scheme by issuing fraudulent regulatory clearances.</w:t>
      </w:r>
    </w:p>
    <w:p w:rsidR="00000000" w:rsidDel="00000000" w:rsidP="00000000" w:rsidRDefault="00000000" w:rsidRPr="00000000" w14:paraId="000000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Defendant Mercy House Living Centers:</w:t>
      </w:r>
      <w:r w:rsidDel="00000000" w:rsidR="00000000" w:rsidRPr="00000000">
        <w:rPr>
          <w:rtl w:val="0"/>
        </w:rPr>
        <w:t xml:space="preserve"> A contracted nonprofit operator responsible for managing the daily operations of the HBNC, directly benefiting from per-diem and per-capita service billing fraud.</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Defendant Shea Homes LP:</w:t>
      </w:r>
      <w:r w:rsidDel="00000000" w:rsidR="00000000" w:rsidRPr="00000000">
        <w:rPr>
          <w:rtl w:val="0"/>
        </w:rPr>
        <w:t xml:space="preserve"> A commercial real estate developer involved in the subsequent acquisition and structural liquidation of distressed private assets targeted by the enterprise.</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III. DETAILED STATEMENT OF FACTS</w:t>
      </w:r>
    </w:p>
    <w:p w:rsidR="00000000" w:rsidDel="00000000" w:rsidP="00000000" w:rsidRDefault="00000000" w:rsidRPr="00000000" w14:paraId="0000001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The LMIHAF Fraud and Rushed Real Estate Acquisition</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In Fiscal Year 2019/2020, the Huntington Beach Housing Authority experienced a sudden influx of capital exceeding $6.5 million into its Low and Moderate Income Housing Asset Fund (LMIHAF) due to the re-syndication of a Low Income Housing Tax Credit (LIHTC) project. Under California statutory mandates, the City faced a strict "use-it-or-lose-it" deadline: any excess surplus exceeding $3 million not formally encumbered within Fiscal Year 2020/2021 would be forcibly forfeited to the State of California. Driven by the financial imperative to avoid clawback, the Housing Authority rapidly deployed $6,094,847 of the LMIHAF surplus to purchase a 1.6-acre combined parcel located at 17631 Cameron Lane and 17642 Beach Boulevard. To satisfy statutory requirements that LMIHAF capital be tied to affordable housing, the City engaged in a regulatory fiction, declaring an intent to co-locate permanent supportive housing while immediately constructing an interim temporary congregate shelter.</w:t>
      </w:r>
    </w:p>
    <w:p w:rsidR="00000000" w:rsidDel="00000000" w:rsidP="00000000" w:rsidRDefault="00000000" w:rsidRPr="00000000" w14:paraId="00000014">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Environmental Contamination and Public Health Evasion</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subject property sits atop the historical Coastal Plain of Orange County, characterized by a semi-confining "Yellow Clay" aquitard sitting between 12 and 46 feet below the surface, which historically pressurized the underlying shallow Talbert and deep Silverado aquifers. Decades of un-remediated industrial development and haphazard mid-century well drilling left a subterranean network of corroded steel well casings acting as "preferential pathways," allowing toxic surface contaminants to migrate into the shallow groundwater. Comprehensive testing conducted in April 2020 confirmed severe subsurface saturation, documenting Hexavalent Chromium (Cr-VI) at concentrations up to 49 times the legal safety limit, alongside actionable levels of Lead, Arsenic, Toxaphene, and DDE.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To bypass mandatory and costly Phase II Environmental Site Assessments that would indefinitely delay the LMIHAF expenditure, the City and OCHCA executed an </w:t>
      </w:r>
      <w:r w:rsidDel="00000000" w:rsidR="00000000" w:rsidRPr="00000000">
        <w:rPr>
          <w:i w:val="1"/>
          <w:iCs w:val="1"/>
          <w:rtl w:val="0"/>
        </w:rPr>
        <w:t xml:space="preserve">ultra vires</w:t>
      </w:r>
      <w:r w:rsidDel="00000000" w:rsidR="00000000" w:rsidRPr="00000000">
        <w:rPr>
          <w:rtl w:val="0"/>
        </w:rPr>
        <w:t xml:space="preserve"> regulatory clearance. On August 21, 2020—exactly one day after the facility's CIWQS Stormwater Permit (NPDES Order No. R8-2009-0030) legally lapsed—OCHCA issued a highly irregular "Case Closed" certificate (No. 20IC002), entirely bypassing the statutory jurisdiction of the California Department of Toxic Substances Control (DTSC). To maintain surface sanitation without unearthing the plume, Mercy House staff engaged in daily high-pressure power washing of the substandard asphalt containment cap. This continuous velocity abrasion systematically degraded the cap, aerosolizing carcinogenic heavy metals into the residents' breathing zones and washing toxic runoff into state waters in violation of Section 1311 of the federal Clean Water Act, causing catastrophic physiological destruction to long-term residents such as Jesse Knabb (as detailed in State Water Resources Control Board Petition A-2926).</w:t>
      </w:r>
    </w:p>
    <w:p w:rsidR="00000000" w:rsidDel="00000000" w:rsidP="00000000" w:rsidRDefault="00000000" w:rsidRPr="00000000" w14:paraId="0000001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CalAIM Per-Capita Billing Fraud and the "HIPAA Harvest"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Defendants leveraged the physical placement of unhoused individuals at the contaminated site to tap into California's $26 billion homelessness funding pool through the CalAIM program. Under managed care frameworks, operators receive per-client, per-month Enhanced Care Management (ECM) reimbursements ranging from $350 to $5,600 depending on acuity tiers. To feed this per-capita engine, municipal social workers and task force personnel executed a recruitment methodology known as the "HIPAA Harvest," circulating pre-filled medical release authorization forms at local religious institutions (including St. Bonaventure Catholic Church). These forms authorized the release of highly sensitive medical, mental health, and substance abuse profiles to the "Home Care at HCA Housing Program," providing the precise triad of clinical data required to trigger maximum-acuity Medi-Cal billing through CalOptima without delivering corresponding tangible care.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The "99 Homes" Real Estate Extraction Pattern</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The enterprise systematically cross-referenced data from the Homeless Management Information System (HMIS) and McKinney-Vento school records to identify high-value private real estate assets held free-and-clear by vulnerable, elderly, or disabled citizens. Utilizing compromised elements of local code enforcement and judicial processes, the network manufactured legal incapacity through the deployment of fabricated "zombie warrants," unlawful 5150 psychiatric holds, or manipulated domestic court filings. Once the targeted homeowner was physically displaced or institutionalized, fraudulent "no-doc" or Debt Service Coverage Ratio (DSCR) loans were originated against the title through aligned entities such as Tiempo Escrow Inc., culminating in forced evictions and rapid asset liquidation to commercial developers, with illicit proceeds routed through out-of-state money nodes in Florida and offshore tax havens.</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after="240" w:before="0" w:lineRule="auto"/>
        <w:rPr/>
      </w:pPr>
      <w:r w:rsidDel="00000000" w:rsidR="00000000" w:rsidRPr="00000000">
        <w:rPr>
          <w:rtl w:val="0"/>
        </w:rPr>
        <w:t xml:space="preserve">IV. CAUSES OF ACTION</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COUNT I: Violation of California Government Code § 12651(a)(1)</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Defendants knowingly presented, or caused to be presented, false claims for payment and approval to officers of the State of California, specifically misrepresenting the environmental safety and regulatory compliance of real estate assets acquired with $6.1 million in restricted public LMIHAF funds.</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COUNT II: Violation of California Government Code § 12651(a)(2)</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Defendants knowingly made, used, or caused to be made or used, false records and statements material to a false or fraudulent claim, specifically executing and relying upon the August 21, 2020 OCHCA "Case Closed" certificate to secure public funds while concealing active, un-remediated toxic plumes beneath a residential facility.</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COUNT III: Fraudulent CalAIM Billing and False Claims Act Violations</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Defendants systematically executed phantom billing practices, submitting false per-capita documentation to CalOptima for Enhanced Care Management (ECM) services that were either never delivered or rendered impossible due to the structural confinement of clients within a hazardous environment.</w:t>
      </w:r>
    </w:p>
    <w:p w:rsidR="00000000" w:rsidDel="00000000" w:rsidP="00000000" w:rsidRDefault="00000000" w:rsidRPr="00000000" w14:paraId="00000022">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V. PRIMARY CORE ENTITY AND OSINT MAPPING</w:t>
      </w:r>
    </w:p>
    <w:tbl>
      <w:tblPr>
        <w:tblStyle w:val="Table1"/>
        <w:tblW w:w="9360.0" w:type="dxa"/>
        <w:jc w:val="left"/>
        <w:tblBorders>
          <w:top w:color="cbd5e1" w:space="0" w:sz="6" w:val="single"/>
          <w:left w:color="cbd5e1" w:space="0" w:sz="6" w:val="single"/>
          <w:bottom w:color="cbd5e1" w:space="0" w:sz="6" w:val="single"/>
          <w:right w:color="cbd5e1" w:space="0" w:sz="6" w:val="single"/>
          <w:insideH w:color="cbd5e1" w:space="0" w:sz="6" w:val="single"/>
          <w:insideV w:color="cbd5e1"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4a90c0" w:space="0" w:sz="6" w:val="single"/>
              <w:left w:color="4a90c0" w:space="0" w:sz="6" w:val="single"/>
              <w:bottom w:color="4a90c0" w:space="0" w:sz="6" w:val="single"/>
              <w:right w:color="4a90c0" w:space="0" w:sz="6" w:val="single"/>
            </w:tcBorders>
            <w:shd w:fill="2a6090" w:val="clear"/>
            <w:tcMar>
              <w:top w:w="150.0" w:type="dxa"/>
              <w:left w:w="150.0" w:type="dxa"/>
              <w:bottom w:w="150.0" w:type="dxa"/>
              <w:right w:w="15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Entity ID</w:t>
            </w:r>
          </w:p>
        </w:tc>
        <w:tc>
          <w:tcPr>
            <w:tcBorders>
              <w:top w:color="4a90c0" w:space="0" w:sz="6" w:val="single"/>
              <w:left w:color="4a90c0" w:space="0" w:sz="6" w:val="single"/>
              <w:bottom w:color="4a90c0" w:space="0" w:sz="6" w:val="single"/>
              <w:right w:color="4a90c0" w:space="0" w:sz="6" w:val="single"/>
            </w:tcBorders>
            <w:shd w:fill="2a6090" w:val="clear"/>
            <w:tcMar>
              <w:top w:w="150.0" w:type="dxa"/>
              <w:left w:w="150.0" w:type="dxa"/>
              <w:bottom w:w="150.0" w:type="dxa"/>
              <w:right w:w="15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Entity Type</w:t>
            </w:r>
          </w:p>
        </w:tc>
        <w:tc>
          <w:tcPr>
            <w:tcBorders>
              <w:top w:color="4a90c0" w:space="0" w:sz="6" w:val="single"/>
              <w:left w:color="4a90c0" w:space="0" w:sz="6" w:val="single"/>
              <w:bottom w:color="4a90c0" w:space="0" w:sz="6" w:val="single"/>
              <w:right w:color="4a90c0" w:space="0" w:sz="6" w:val="single"/>
            </w:tcBorders>
            <w:shd w:fill="2a6090" w:val="clear"/>
            <w:tcMar>
              <w:top w:w="150.0" w:type="dxa"/>
              <w:left w:w="150.0" w:type="dxa"/>
              <w:bottom w:w="150.0" w:type="dxa"/>
              <w:right w:w="15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Entity/Actor Name</w:t>
            </w:r>
          </w:p>
        </w:tc>
        <w:tc>
          <w:tcPr>
            <w:tcBorders>
              <w:top w:color="4a90c0" w:space="0" w:sz="6" w:val="single"/>
              <w:left w:color="4a90c0" w:space="0" w:sz="6" w:val="single"/>
              <w:bottom w:color="4a90c0" w:space="0" w:sz="6" w:val="single"/>
              <w:right w:color="4a90c0" w:space="0" w:sz="6" w:val="single"/>
            </w:tcBorders>
            <w:shd w:fill="2a6090" w:val="clear"/>
            <w:tcMar>
              <w:top w:w="150.0" w:type="dxa"/>
              <w:left w:w="150.0" w:type="dxa"/>
              <w:bottom w:w="150.0" w:type="dxa"/>
              <w:right w:w="15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b w:val="1"/>
                <w:bCs w:val="1"/>
                <w:color w:val="ffffff"/>
                <w:shd w:fill="auto" w:val="clear"/>
              </w:rPr>
            </w:pPr>
            <w:r w:rsidDel="00000000" w:rsidR="00000000" w:rsidRPr="00000000">
              <w:rPr>
                <w:rFonts w:ascii="Arial" w:cs="Arial" w:eastAsia="Arial" w:hAnsi="Arial"/>
                <w:b w:val="1"/>
                <w:bCs w:val="1"/>
                <w:color w:val="ffffff"/>
                <w:shd w:fill="auto" w:val="clear"/>
                <w:rtl w:val="0"/>
              </w:rPr>
              <w:t xml:space="preserve">Documented Role / Connection</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rtl w:val="0"/>
              </w:rPr>
              <w:t xml:space="preserve"> </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PER-001</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PERSON</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Anthony Michael DiMarcello III</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Relator/Whistleblower; professional fiduciary and primary analyst tracking enterprise asset diversion.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GOV-001</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GOV_AGENCY</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City of Huntington Beach</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Primary municipal defendant; hub for LMIHAF procurement and shelter placement contracts.</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PER-008</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PERSON</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Michael Gates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City Attorney; subsequent Deputy Assistant Attorney General at DOJ Civil Rights Division acting as an institutional shield.</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PER-004</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PERSON</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Andrew Hoang Do</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Former OC Supervisor; convicted in federal bribery/laundering scheme involving parallel COVID-19 relief fund diversion.</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NP-001</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NONPROFIT</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Mercy House Living Centers</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Shelter operator; executed power-washing protocols destroying the asphalt cap; active billing entity.</w:t>
            </w:r>
          </w:p>
        </w:tc>
      </w:tr>
      <w:tr>
        <w:trPr>
          <w:cantSplit w:val="0"/>
          <w:tblHeader w:val="0"/>
        </w:trPr>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TOX-001</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TOXIC_SITE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17642 Beach Boulevard Plume</w:t>
            </w:r>
          </w:p>
        </w:tc>
        <w:tc>
          <w:tcPr>
            <w:tcBorders>
              <w:top w:color="cbd5e1" w:space="0" w:sz="6" w:val="single"/>
              <w:left w:color="cbd5e1" w:space="0" w:sz="6" w:val="single"/>
              <w:bottom w:color="cbd5e1" w:space="0" w:sz="6" w:val="single"/>
              <w:right w:color="cbd5e1" w:space="0" w:sz="6" w:val="single"/>
            </w:tcBorders>
            <w:shd w:fill="auto" w:val="clear"/>
            <w:tcMar>
              <w:top w:w="150.0" w:type="dxa"/>
              <w:left w:w="150.0" w:type="dxa"/>
              <w:bottom w:w="150.0" w:type="dxa"/>
              <w:right w:w="15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before="150" w:line="300" w:lineRule="auto"/>
              <w:rPr>
                <w:rFonts w:ascii="Arial" w:cs="Arial" w:eastAsia="Arial" w:hAnsi="Arial"/>
              </w:rPr>
            </w:pPr>
            <w:r w:rsidDel="00000000" w:rsidR="00000000" w:rsidRPr="00000000">
              <w:rPr>
                <w:rFonts w:ascii="Arial" w:cs="Arial" w:eastAsia="Arial" w:hAnsi="Arial"/>
                <w:rtl w:val="0"/>
              </w:rPr>
              <w:t xml:space="preserve">Situs of the HBNC; contaminated with Hexavalent Chromium at 49x legal thresholds under OCHCA Case 20IC002.</w:t>
            </w:r>
          </w:p>
        </w:tc>
      </w:tr>
    </w:tbl>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300" w:lineRule="auto"/>
        <w:rPr/>
      </w:pPr>
      <w:r w:rsidDel="00000000" w:rsidR="00000000" w:rsidRPr="00000000">
        <w:rPr>
          <w:rtl w:val="0"/>
        </w:rPr>
        <w:t xml:space="preserve">VI. PRAYER FOR RELIEF</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WHEREFORE, Relator Anthony Michael DiMarcello III, acting on behalf of the State of California, prays that this Court enter judgment against Defendants as follows:</w:t>
      </w:r>
    </w:p>
    <w:p w:rsidR="00000000" w:rsidDel="00000000" w:rsidP="00000000" w:rsidRDefault="00000000" w:rsidRPr="00000000" w14:paraId="0000004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That Defendants be ordered to pay treble the amount of all public funds and damages sustained by the State of California as a result of the fraudulent schemes detailed herein, totaling no less than $18,284,541 for the primary LMIHAF encumbrance alone;</w:t>
      </w:r>
    </w:p>
    <w:p w:rsidR="00000000" w:rsidDel="00000000" w:rsidP="00000000" w:rsidRDefault="00000000" w:rsidRPr="00000000" w14:paraId="0000004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That civil penalties of not less than $5,000 and up to $10,000 be assessed against Defendants for each individual false record, fraudulent billing submission, and deceptive claim processed;</w:t>
      </w:r>
    </w:p>
    <w:p w:rsidR="00000000" w:rsidDel="00000000" w:rsidP="00000000" w:rsidRDefault="00000000" w:rsidRPr="00000000" w14:paraId="00000044">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That Relator be awarded the maximum statutory percentage share (up to 33%) of the total recovery proceeds obtained by the State of California;</w:t>
      </w:r>
    </w:p>
    <w:p w:rsidR="00000000" w:rsidDel="00000000" w:rsidP="00000000" w:rsidRDefault="00000000" w:rsidRPr="00000000" w14:paraId="00000045">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That Relator be awarded all reasonable attorneys' fees, investigative costs, and litigation expenses incurred during the development of this matter.</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Respectfully submitted,</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Dated: June 24, 2026</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By: ___________________________</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Anthony Michael DiMarcello III</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i w:val="1"/>
          <w:iCs w:val="1"/>
        </w:rPr>
      </w:pPr>
      <w:r w:rsidDel="00000000" w:rsidR="00000000" w:rsidRPr="00000000">
        <w:rPr>
          <w:i w:val="1"/>
          <w:iCs w:val="1"/>
          <w:rtl w:val="0"/>
        </w:rPr>
        <w:t xml:space="preserve">Relator Pro Se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