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 synthesis provides an overview of the investigation into the Orange County (OC) Fraud Network, as documented across your workspace materials.Investigation Overview: The OC Fraud Network</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research compiles a multi-layered investigative report into a systemic RICO conspiracy involving federal program fraud, environmental crimes, and child welfare trafficking.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investigation has evolved from tracking COVID-19 relief embezzlement to mapping a nationwide infrastructure of shell entities and billing schemes.Key Pillars of Fraud Identified</w:t>
      </w:r>
      <w:r w:rsidDel="00000000" w:rsidR="00000000" w:rsidRPr="00000000">
        <w:rPr>
          <w:rtl w:val="0"/>
        </w:rPr>
      </w:r>
    </w:p>
    <w:p w:rsidR="00000000" w:rsidDel="00000000" w:rsidP="00000000" w:rsidRDefault="00000000" w:rsidRPr="00000000" w14:paraId="0000000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Federal Healthcare &amp; COVID Fraud: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network includes misappropriation of COVID-19 relief funds (specifically involving Andrew Do and Peter Pham) and systematic billing fraud by children’s behavioral health nonprofits, such as ChildNet and Mercy House, which allegedly lack required prescriber records despite billing for millions of "mental health minutes".</w:t>
      </w:r>
      <w:r w:rsidDel="00000000" w:rsidR="00000000" w:rsidRPr="00000000">
        <w:rPr>
          <w:rtl w:val="0"/>
        </w:rPr>
      </w:r>
    </w:p>
    <w:p w:rsidR="00000000" w:rsidDel="00000000" w:rsidP="00000000" w:rsidRDefault="00000000" w:rsidRPr="00000000" w14:paraId="0000000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Environmental Crime (HBNC):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Forensic analysis of the Huntington Beach Navigation Center (HBNC) documents hexavalent chromium (Cr-VI) levels at 49 times the EPA limit, affecting 40+ vulnerable residents.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Reports indicate that OCHCA issued false facility closure records to facilitate this operation.</w:t>
      </w:r>
      <w:r w:rsidDel="00000000" w:rsidR="00000000" w:rsidRPr="00000000">
        <w:rPr>
          <w:rtl w:val="0"/>
        </w:rPr>
      </w:r>
    </w:p>
    <w:p w:rsidR="00000000" w:rsidDel="00000000" w:rsidP="00000000" w:rsidRDefault="00000000" w:rsidRPr="00000000" w14:paraId="0000000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Child Welfare &amp; Trafficking: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Investigations highlight the exploitation of Indigenous children within the foster care pipeline, alleging systematic failure to conduct ICWA inquiries to maintain eligibility for federal per-diem funding (e.g., $250k/child/year).</w:t>
      </w: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Computer &amp; Wire Fraud: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details an "EDRnet breach" that allowed unauthorized users to generate fabricated environmental assessment reports (ESAs), which were subsequently used to secure loans and approvals for developments on contaminated land.</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Financial Laundering: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network utilizes multi-state unclaimed property mechanisms and shell entities (e.g., "An Quoc Le" network, Pham Family Trust) to conceal assets and wash proceeds from fraudulent activities.</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Federal Coordination &amp; Submissions</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communications in Gmail confirm that you have actively engaged oversight and law enforcement entities to trigger federal accountability:</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Law Enforcement: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Reports and evidence packages, including homicide allegations related to the Lowenberg circuit, have been directed to the FBI (Los Angeles Field Office).</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Congressional/State Oversight: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have initiated contact with the Minnesota House Fraud Committee (Rep. Kristin Robbins) regarding the interstate trafficking pipeline that connects Minnesota nodes to the California network.</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Media Engagement: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have submitted investigative tips and evidence packages to ProPublica to document the broader implications of the RICO conspiracy.</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Action Plan</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the latest integration report (v16.1), the investigation is ready for immediate 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identified three primary strategic paths:</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Option 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 Mandatory Reporter obligations (APS/State Health Officer) and Federal Criminal Referrals (FBI/EPA/USA) within the 48-hour/10-day windows.</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Option 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Prioritize final integration of the v16.1 report, including source disclosures, before distributing to the 30-recipient batch (media/Congress).</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Option 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Parallel execution, separating mandatory reporting from the broader Congressional/media notifications and civil recovery filings.</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me to draft a summary of the next steps for a specific "Option" (A, B, or C) to help you finalize your distribution strategy?</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0mBased on the provided transcripts and chat logs, here is the synthesized chronological timeline and legal mapping of the whistleblower's submissions, statuses, and governing statutes: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Professional Licensing and Legal Statuses</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Active Registration Years (Pre-2022):</w:t>
      </w:r>
      <w:r w:rsidDel="00000000" w:rsidR="00000000" w:rsidRPr="00000000">
        <w:rPr>
          <w:rtl w:val="0"/>
        </w:rPr>
        <w:t xml:space="preserve"> The individual held an active, federally backed Series 3 futures broker license. During this active period, the individual was legally bound by the mandatory corporate compliance and reporting requirements of the Bank Secrecy Act (31 U.S.C. § 5318(g)).</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Inactive/Retired Status (2022–June 2026):</w:t>
      </w:r>
      <w:r w:rsidDel="00000000" w:rsidR="00000000" w:rsidRPr="00000000">
        <w:rPr>
          <w:rtl w:val="0"/>
        </w:rPr>
        <w:t xml:space="preserve"> The license is currently inactive and the individual is retired. This status legally separates the individual from active corporate compliance mandates. However, under the Federal Sentencing Guidelines (U.S.S.G. § 3B1.3), the specialized technical knowledge and "special skill" gained from the Series 3 license remain a permanent legal asset.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 Federal Whistleblower Authority and Governing Statutes</w:t>
      </w:r>
      <w:r w:rsidDel="00000000" w:rsidR="00000000" w:rsidRPr="00000000">
        <w:rPr>
          <w:rtl w:val="0"/>
        </w:rPr>
        <w:t xml:space="preserve"> Because the retired professional possesses original, independent knowledge of systemic fraud, their actions bypass corporate compliance desks and fall strictly under independent federal whistleblower frameworks:</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31 U.S.C. § 3730(b) (False Claims Act):</w:t>
      </w:r>
      <w:r w:rsidDel="00000000" w:rsidR="00000000" w:rsidRPr="00000000">
        <w:rPr>
          <w:rtl w:val="0"/>
        </w:rPr>
        <w:t xml:space="preserve"> Establishes the individual as a </w:t>
      </w:r>
      <w:r w:rsidDel="00000000" w:rsidR="00000000" w:rsidRPr="00000000">
        <w:rPr>
          <w:i w:val="1"/>
          <w:iCs w:val="1"/>
          <w:rtl w:val="0"/>
        </w:rPr>
        <w:t xml:space="preserve">Qui Tam</w:t>
      </w:r>
      <w:r w:rsidDel="00000000" w:rsidR="00000000" w:rsidRPr="00000000">
        <w:rPr>
          <w:rtl w:val="0"/>
        </w:rPr>
        <w:t xml:space="preserve"> Relator for independently exposing fraud against government programs and public funds.</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7 U.S.C. § 26 (Commodity Exchange Act):</w:t>
      </w:r>
      <w:r w:rsidDel="00000000" w:rsidR="00000000" w:rsidRPr="00000000">
        <w:rPr>
          <w:rtl w:val="0"/>
        </w:rPr>
        <w:t xml:space="preserve"> Authorizes formal disclosures to the CFTC Whistleblower Office based on original information regarding market abuse.</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18 U.S.C. §§ 1512(b)(3) and 1513(e):</w:t>
      </w:r>
      <w:r w:rsidDel="00000000" w:rsidR="00000000" w:rsidRPr="00000000">
        <w:rPr>
          <w:rtl w:val="0"/>
        </w:rPr>
        <w:t xml:space="preserve"> Provides absolute protection against retaliation, obstruction, or witness tampering (including the voiding of NDAs or the misuse of legal guardianships to silence the reporter). Violations are federal felonies carrying up to 20 years in prison.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Chronological Timeline of Submissions and Milestones (2022–June 2026)</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2022 (Initiation of Forensic Tracking):</w:t>
      </w:r>
      <w:r w:rsidDel="00000000" w:rsidR="00000000" w:rsidRPr="00000000">
        <w:rPr>
          <w:rtl w:val="0"/>
        </w:rPr>
        <w:t xml:space="preserve"> The individual initiated forensic tracking and executed an initial whistleblower call regarding the diversion of $6.1 million in public funds and systemic fraud against the homeless, an event connected to an illegal eviction.</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2022–2025 (Execution of Disclosures):</w:t>
      </w:r>
      <w:r w:rsidDel="00000000" w:rsidR="00000000" w:rsidRPr="00000000">
        <w:rPr>
          <w:rtl w:val="0"/>
        </w:rPr>
        <w:t xml:space="preserve"> Utilizing their Series 3 background to identify money laundering conduits (e.g., D Air Conditioning and HD Construction), the individual independently compiled and routed master evidentiary reports to federal enforcement dockets. Documented submissions were made to the DOJ, the FBI Public Corruption Unit, HUD-OIG, IRS-CI, the MN House Fraud Committee, and the CFTC Whistleblower Office.</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June 2026 (v16.1 Integration and Escalation):</w:t>
      </w:r>
      <w:r w:rsidDel="00000000" w:rsidR="00000000" w:rsidRPr="00000000">
        <w:rPr>
          <w:rtl w:val="0"/>
        </w:rPr>
        <w:t xml:space="preserve"> The individual finalized the "OC Fraud Network OSINT Report v16.1", mapping the looting of $13.5 million in COVID relief funds and the $26 billion California homelessness funding pool, as well as CalAIM per-capita billing fraud.</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June 2026 (Emergency Referrals):</w:t>
      </w:r>
      <w:r w:rsidDel="00000000" w:rsidR="00000000" w:rsidRPr="00000000">
        <w:rPr>
          <w:rtl w:val="0"/>
        </w:rPr>
        <w:t xml:space="preserve"> Operating against a 48-hour deadline for Mandatory Reporter filings and a 10-day deadline for federal criminal referrals, the individual initiated immediate filings to Adult Protective Services and the State Health Officer regarding severe environmental cover-ups (hexavalent chromium and lead exposure) at the Huntington Beach Navigation Center (HBNC). These filings were coordinated with legal counsel to officially trigger the protections outlined in 18 U.S.C. § 1513(e).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