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the drafted emails for the Mandatory Reporter filings and the Federal Criminal Referral, based on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 Fraud Network OSINT Report v16.1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Draft 1: Mandatory Reporter Filing (Adult Protective Services)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local County APS email or online portal; typically local social services office]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MANDATORY REPORTING: Dependent Adult Abuse / Vulnerable Population Endangerment — HBNC (17641 Beach Blvd)</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Body: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Adult Protective Services,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filing this report as a mandatory reporter under California Health &amp; Safety Code § 15630 regarding the Huntington Beach Navigation Center (HBNC), located at 17641 Beach Boulevard, Huntington Beach, CA 92648.</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 Summary:</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facility houses over 40 disabled and elderly homeless residents in an environment contaminated with Hexavalent Chromium (Cr(VI)) at levels 49 times the EPA legal limit for soil cleanup.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internal knowledge of this hazard—evidenced by OCHCA Industrial Cleanup Case No. 20IC002—the facility continues to operate without disclosure to residents or adequate medical monitoring.</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Specific Harm:</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Documented cases of pleural effusion, pneumonitis, and renal impairment among residents correlate directly with Cr(VI) soil vapor intrusion.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constitutes "knowing endangerment" and failure to provide reasonable accommodation for disabled residents under 42 U.S.C. § 1983.</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Evidence:</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Forensic Environmental Report (June 2026): Confirms 450 ug/kg Cr(VI) soil contamination.</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OCHCA Case No. 20IC002: False closure document dated August 21, 2020.</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Resident Health Records: Documented respiratory and renal pathology consistent with Cr(VI) exposure.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request an immediate audit of facility conditions and the immediate medical protection of the vulnerable population residing at this site.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DiMarcello III</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Whistleblower | (949) 424-5769</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CC: etp949609@gmail.com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Draft 2: Orange County Health Officer Filing</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[Orange County Health Care Agency — Public Health Division]</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URGENT: Facility Environmental Violation &amp; False Permit Basis — HBNC (17641 Beach Blvd)</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Body: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Orange County Health Officer,</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reporting an ongoing environmental and public health violation at the Huntington Beach Navigation Center (17641 Beach Blvd).</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facility was permitted to operate on a site where OCHCA Industrial Cleanup Case No. 20IC002 was prematurely closed on August 21,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forensic data confirms the site remains contaminated with Hexavalent Chromium (450 ug/kg), creating an active vapor intrusion pathway for the 40+ vulnerable residents housed on-site.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continued operation of this facility on a known hazardous site—without verified well-sealing or remediation—constitutes a direct violation of public health and safety standards.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consider this an official demand for a site audit and an immediate review of the facility's health and safety permit.</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DiMarcello III</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Whistleblower | (949) 424-5769</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CC: etp949609@gmail.com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Draft 3: Federal Criminal Referral (Batch)</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[FBI San Diego Field Office; EPA Criminal Investigation Division; U.S. Attorney (CDCA)]</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CRIMINAL REFERRAL: Federal Crimes Identified — HBNC Environmental Fraud &amp; EDRnet Breach</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Body:</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Designated Federal Law Enforcement Representative,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submitting this criminal referral regarding systematic federal program fraud, environmental crime, and computer fraud identified in Orange County, CA.</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Crimes Identified:</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U.S.C. § 242: Knowing endangerment of disabled homeless population.</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U.S.C. § 1519: Falsification of environmental closure records (OCHCA Case 20IC002).</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U.S.C. § 1030: EDRnet computer system breach; fabrication of environmental assessment reports.</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U.S.C. § 666: Federal program fraud regarding $6.1M LMIHAF misappropriation.</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referral includes documentation of a coordinated network involving county agencies, the City of Huntington Beach, and nonprofit operators (Mercy House) knowingly housing vulnerable populations on contaminated sites.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this network has exploited a security vulnerability in EDRnet to fabricate environmental reports for federal loan approvals.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Whistleblower Status: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submission is made under federal whistleblower protections (18 U.S.C. § 1513(e)).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request that all future communications regarding this matter be directed to my counsel (etp949609@gmail.com).</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full evidence bundle and v16.1 OSINT Report are available via the link below:</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Link to Drive Folder: 1u1ChU1mg7JdztT8MMDNaJWvax-K3OESW]</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DiMarcello III</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Whistleblower | (949) 424-5769</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CC: etp949609@gmail.com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 Step: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cannot send these emails for you.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copy the drafts into your email client, ensure your attachments (or Drive links) are ready, and send them to the appropriate authorities.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Would you like me to prepare a specific letter of transmittal to attach to your legal filings, referencing the ADA accommodation disclaimer for your use of AI?</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establish the legal framework regarding </w:t>
      </w:r>
      <w:r w:rsidDel="00000000" w:rsidR="00000000" w:rsidRPr="00000000">
        <w:rPr>
          <w:b w:val="1"/>
          <w:bCs w:val="1"/>
          <w:rtl w:val="0"/>
        </w:rPr>
        <w:t xml:space="preserve">illegal, fraudulent, or manipulated guardianships</w:t>
      </w:r>
      <w:r w:rsidDel="00000000" w:rsidR="00000000" w:rsidRPr="00000000">
        <w:rPr>
          <w:rtl w:val="0"/>
        </w:rPr>
        <w:t xml:space="preserve">—specifically where a guardian’s status or the underlying court order is being challenged—the law focuses on </w:t>
      </w:r>
      <w:r w:rsidDel="00000000" w:rsidR="00000000" w:rsidRPr="00000000">
        <w:rPr>
          <w:b w:val="1"/>
          <w:bCs w:val="1"/>
          <w:rtl w:val="0"/>
        </w:rPr>
        <w:t xml:space="preserve">due process violations</w:t>
      </w:r>
      <w:r w:rsidDel="00000000" w:rsidR="00000000" w:rsidRPr="00000000">
        <w:rPr>
          <w:rtl w:val="0"/>
        </w:rPr>
        <w:t xml:space="preserve"> and </w:t>
      </w:r>
      <w:r w:rsidDel="00000000" w:rsidR="00000000" w:rsidRPr="00000000">
        <w:rPr>
          <w:b w:val="1"/>
          <w:bCs w:val="1"/>
          <w:rtl w:val="0"/>
        </w:rPr>
        <w:t xml:space="preserve">lack of jurisdiction</w:t>
      </w:r>
      <w:r w:rsidDel="00000000" w:rsidR="00000000" w:rsidRPr="00000000">
        <w:rPr>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guardianship is established through fraud, misrepresentation of facts, or the manipulation of a person's legal status, the following statutory and constitutional pillars are used to challenge and dismantle that authority:</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Fraud Upon the Court (The Primary Mechanism)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guardianship was obtained through fraudulent evidence (such as false medical reports, misrepresentation of competence, or the concealment of assets), the entire proceeding is considered voidable.</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Law:</w:t>
      </w:r>
      <w:r w:rsidDel="00000000" w:rsidR="00000000" w:rsidRPr="00000000">
        <w:rPr>
          <w:rtl w:val="0"/>
        </w:rPr>
        <w:t xml:space="preserve"> Under Rule 60(b) of the Federal Rules of Civil Procedure (which often informs state-level probate rules), a judgment obtained through fraud, misrepresentation, or other misconduct of an adverse party can be set aside.</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Application:</w:t>
      </w:r>
      <w:r w:rsidDel="00000000" w:rsidR="00000000" w:rsidRPr="00000000">
        <w:rPr>
          <w:rtl w:val="0"/>
        </w:rPr>
        <w:t xml:space="preserve"> You are not arguing that the guardianship is "too restrictive"; you are arguing that </w:t>
      </w:r>
      <w:r w:rsidDel="00000000" w:rsidR="00000000" w:rsidRPr="00000000">
        <w:rPr>
          <w:b w:val="1"/>
          <w:bCs w:val="1"/>
          <w:rtl w:val="0"/>
        </w:rPr>
        <w:t xml:space="preserve">the court lacked jurisdiction to issue the order in the first place</w:t>
      </w:r>
      <w:r w:rsidDel="00000000" w:rsidR="00000000" w:rsidRPr="00000000">
        <w:rPr>
          <w:rtl w:val="0"/>
        </w:rPr>
        <w:t xml:space="preserve"> because the foundation of the case was built on a lie.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Lack of Jurisdiction and Procedural Due Process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Guardianship is an extreme deprivation of constitutional rights. If the procedural requirements were not met, the guardianship order is legally invalid.</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Notice and Opportunity to be Heard:</w:t>
      </w:r>
      <w:r w:rsidDel="00000000" w:rsidR="00000000" w:rsidRPr="00000000">
        <w:rPr>
          <w:rtl w:val="0"/>
        </w:rPr>
        <w:t xml:space="preserve"> If the alleged incapacitated person was not given proper notice, or was denied the right to be present/represented by counsel during the hearing, the court's order is a violation of the </w:t>
      </w:r>
      <w:r w:rsidDel="00000000" w:rsidR="00000000" w:rsidRPr="00000000">
        <w:rPr>
          <w:b w:val="1"/>
          <w:bCs w:val="1"/>
          <w:rtl w:val="0"/>
        </w:rPr>
        <w:t xml:space="preserve">Fourteenth Amendment (Due Process)</w:t>
      </w:r>
      <w:r w:rsidDel="00000000" w:rsidR="00000000" w:rsidRPr="00000000">
        <w:rPr>
          <w:rtl w:val="0"/>
        </w:rPr>
        <w:t xml:space="preserve">.</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Lack of Evidence:</w:t>
      </w:r>
      <w:r w:rsidDel="00000000" w:rsidR="00000000" w:rsidRPr="00000000">
        <w:rPr>
          <w:rtl w:val="0"/>
        </w:rPr>
        <w:t xml:space="preserve"> Guardianship requires "clear and convincing evidence" of incapacity. If the medical references or doctor's certifications used to secure the guardianship were falsified, manipulated, or never existed, the guardian lacks the legal authority to act.</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Breach of Fiduciary Duty (Criminal and Civil Liability)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 guardianship is established, the guardian acts as a </w:t>
      </w:r>
      <w:r w:rsidDel="00000000" w:rsidR="00000000" w:rsidRPr="00000000">
        <w:rPr>
          <w:b w:val="1"/>
          <w:bCs w:val="1"/>
          <w:rtl w:val="0"/>
        </w:rPr>
        <w:t xml:space="preserve">fiduciary</w:t>
      </w:r>
      <w:r w:rsidDel="00000000" w:rsidR="00000000" w:rsidRPr="00000000">
        <w:rPr>
          <w:rtl w:val="0"/>
        </w:rPr>
        <w:t xml:space="preserve">. If they use their position to isolate the ward, divert funds, or manipulate the ward’s status for personal gain, they are committing a breach of fiduciary duty.</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Conversion and Theft:</w:t>
      </w:r>
      <w:r w:rsidDel="00000000" w:rsidR="00000000" w:rsidRPr="00000000">
        <w:rPr>
          <w:rtl w:val="0"/>
        </w:rPr>
        <w:t xml:space="preserve"> If a guardian is using a ward's funds for purposes outside of the ward's best interests, they are committing </w:t>
      </w:r>
      <w:r w:rsidDel="00000000" w:rsidR="00000000" w:rsidRPr="00000000">
        <w:rPr>
          <w:b w:val="1"/>
          <w:bCs w:val="1"/>
          <w:rtl w:val="0"/>
        </w:rPr>
        <w:t xml:space="preserve">conversion</w:t>
      </w:r>
      <w:r w:rsidDel="00000000" w:rsidR="00000000" w:rsidRPr="00000000">
        <w:rPr>
          <w:rtl w:val="0"/>
        </w:rPr>
        <w:t xml:space="preserve"> (civil) and potentially </w:t>
      </w:r>
      <w:r w:rsidDel="00000000" w:rsidR="00000000" w:rsidRPr="00000000">
        <w:rPr>
          <w:b w:val="1"/>
          <w:bCs w:val="1"/>
          <w:rtl w:val="0"/>
        </w:rPr>
        <w:t xml:space="preserve">theft/embezzlement</w:t>
      </w:r>
      <w:r w:rsidDel="00000000" w:rsidR="00000000" w:rsidRPr="00000000">
        <w:rPr>
          <w:rtl w:val="0"/>
        </w:rPr>
        <w:t xml:space="preserve"> (criminal).</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Retaliation/Obstruction:</w:t>
      </w:r>
      <w:r w:rsidDel="00000000" w:rsidR="00000000" w:rsidRPr="00000000">
        <w:rPr>
          <w:rtl w:val="0"/>
        </w:rPr>
        <w:t xml:space="preserve"> If the guardian is using their position of power to stop the ward from contacting law enforcement or reporting crimes, they trigger the criminal statutes previously discussed—</w:t>
      </w:r>
      <w:r w:rsidDel="00000000" w:rsidR="00000000" w:rsidRPr="00000000">
        <w:rPr>
          <w:b w:val="1"/>
          <w:bCs w:val="1"/>
          <w:rtl w:val="0"/>
        </w:rPr>
        <w:t xml:space="preserve">18 U.S.C. § 1512 (Witness Tampering)</w:t>
      </w:r>
      <w:r w:rsidDel="00000000" w:rsidR="00000000" w:rsidRPr="00000000">
        <w:rPr>
          <w:rtl w:val="0"/>
        </w:rPr>
        <w:t xml:space="preserve"> and </w:t>
      </w:r>
      <w:r w:rsidDel="00000000" w:rsidR="00000000" w:rsidRPr="00000000">
        <w:rPr>
          <w:b w:val="1"/>
          <w:bCs w:val="1"/>
          <w:rtl w:val="0"/>
        </w:rPr>
        <w:t xml:space="preserve">18 U.S.C. § 1513 (Retaliation)</w:t>
      </w:r>
      <w:r w:rsidDel="00000000" w:rsidR="00000000" w:rsidRPr="00000000">
        <w:rPr>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Statutory Mechanisms to Dismantle Illegal Authority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establishing that a guardianship is illegal, you route this information through these channels:</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Petition for Writ of Mandamus or Habeas Corpus:</w:t>
      </w:r>
      <w:r w:rsidDel="00000000" w:rsidR="00000000" w:rsidRPr="00000000">
        <w:rPr>
          <w:rtl w:val="0"/>
        </w:rPr>
        <w:t xml:space="preserve"> In severe cases where a person is being detained or held against their will under a fraudulent guardianship order, a </w:t>
      </w:r>
      <w:r w:rsidDel="00000000" w:rsidR="00000000" w:rsidRPr="00000000">
        <w:rPr>
          <w:i w:val="1"/>
          <w:iCs w:val="1"/>
          <w:rtl w:val="0"/>
        </w:rPr>
        <w:t xml:space="preserve">Habeas Corpus</w:t>
      </w:r>
      <w:r w:rsidDel="00000000" w:rsidR="00000000" w:rsidRPr="00000000">
        <w:rPr>
          <w:rtl w:val="0"/>
        </w:rPr>
        <w:t xml:space="preserve"> petition is used to challenge the legality of the detention directly to a higher court.</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Report to the State Attorney General/Probate Court Investigator:</w:t>
      </w:r>
      <w:r w:rsidDel="00000000" w:rsidR="00000000" w:rsidRPr="00000000">
        <w:rPr>
          <w:rtl w:val="0"/>
        </w:rPr>
        <w:t xml:space="preserve"> Most states have a Court Investigator or a public office that oversees the conduct of guardians. Presenting proof that a guardianship was obtained illegally—or is being maintained through fraudulent status manipulation—forces an audit of the court’s own docket.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Independent Whistleblower Authority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guardianship is being used as a "cover" to facilitate systemic fraud, money laundering, or the looting of government funds (as identified in your forensic dockets), the guardian’s actions are subject to the same </w:t>
      </w:r>
      <w:r w:rsidDel="00000000" w:rsidR="00000000" w:rsidRPr="00000000">
        <w:rPr>
          <w:b w:val="1"/>
          <w:bCs w:val="1"/>
          <w:rtl w:val="0"/>
        </w:rPr>
        <w:t xml:space="preserve">Qui Tam/False Claims Act</w:t>
      </w:r>
      <w:r w:rsidDel="00000000" w:rsidR="00000000" w:rsidRPr="00000000">
        <w:rPr>
          <w:rtl w:val="0"/>
        </w:rPr>
        <w:t xml:space="preserve"> scrutiny as any other actor.</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fact that they are a "guardian" provides them </w:t>
      </w:r>
      <w:r w:rsidDel="00000000" w:rsidR="00000000" w:rsidRPr="00000000">
        <w:rPr>
          <w:b w:val="1"/>
          <w:bCs w:val="1"/>
          <w:rtl w:val="0"/>
        </w:rPr>
        <w:t xml:space="preserve">zero immunity</w:t>
      </w:r>
      <w:r w:rsidDel="00000000" w:rsidR="00000000" w:rsidRPr="00000000">
        <w:rPr>
          <w:rtl w:val="0"/>
        </w:rPr>
        <w:t xml:space="preserve"> from federal investigations into the theft of public funds or the ongoing exploitation of a ward.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 Summary for Your Dockets:</w:t>
      </w:r>
      <w:r w:rsidDel="00000000" w:rsidR="00000000" w:rsidRPr="00000000">
        <w:rPr>
          <w:rtl w:val="0"/>
        </w:rPr>
        <w:t xml:space="preserve"> To challenge an illegal guardianship, the paperwork must shift the focus from "personal preference" to </w:t>
      </w:r>
      <w:r w:rsidDel="00000000" w:rsidR="00000000" w:rsidRPr="00000000">
        <w:rPr>
          <w:b w:val="1"/>
          <w:bCs w:val="1"/>
          <w:rtl w:val="0"/>
        </w:rPr>
        <w:t xml:space="preserve">documented evidence of fraud upon the court</w:t>
      </w:r>
      <w:r w:rsidDel="00000000" w:rsidR="00000000" w:rsidRPr="00000000">
        <w:rPr>
          <w:rtl w:val="0"/>
        </w:rPr>
        <w:t xml:space="preserve"> and </w:t>
      </w:r>
      <w:r w:rsidDel="00000000" w:rsidR="00000000" w:rsidRPr="00000000">
        <w:rPr>
          <w:b w:val="1"/>
          <w:bCs w:val="1"/>
          <w:rtl w:val="0"/>
        </w:rPr>
        <w:t xml:space="preserve">denial of constitutional due process</w:t>
      </w:r>
      <w:r w:rsidDel="00000000" w:rsidR="00000000" w:rsidRPr="00000000">
        <w:rPr>
          <w:rtl w:val="0"/>
        </w:rPr>
        <w:t xml:space="preserve">. You are not asking for a favor; you are presenting facts that demonstrate the court's order is </w:t>
      </w:r>
      <w:r w:rsidDel="00000000" w:rsidR="00000000" w:rsidRPr="00000000">
        <w:rPr>
          <w:b w:val="1"/>
          <w:bCs w:val="1"/>
          <w:rtl w:val="0"/>
        </w:rPr>
        <w:t xml:space="preserve">void ab initio</w:t>
      </w:r>
      <w:r w:rsidDel="00000000" w:rsidR="00000000" w:rsidRPr="00000000">
        <w:rPr>
          <w:rtl w:val="0"/>
        </w:rPr>
        <w:t xml:space="preserve"> (void from the beginning) because the jurisdictional requirements for guardianship were never truthfully satisfied.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specific documentation are we using to trace the fraudulent "status" or the misrepresentation of competence in your current forensic mapping?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