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Whistleblower Legal Timeline Research 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This document outlines a comprehensive research methodology and execution plan designed to analyze, map, and evaluate the legal timelines associated with whistleblower cases across various jurisdictions and regulatory bodies. The objective is to establish a rigorous, standardized framework for tracking milestones from the initial act of protected disclosure through to final resolution or litigation.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color w:val="2c3e50"/>
        </w:rPr>
      </w:pPr>
      <w:r w:rsidDel="00000000" w:rsidR="00000000" w:rsidRPr="00000000">
        <w:rPr>
          <w:color w:val="2c3e50"/>
          <w:rtl w:val="0"/>
        </w:rPr>
        <w:t xml:space="preserve">1. Executive Summary &amp; Objectives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Whistleblower litigation is characterized by complex procedural hurdles, varying statutes of limitations, and distinct institutional pathways depending on the subject matter (e.g., securities fraud, environmental violations, healthcare fraud). This research plan aims to: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Identify and catalog critical statutory deadlines and limitation periods across major whistleblower frameworks.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Map the procedural lifecycle of a typical whistleblower claim from internal reporting to judicial or administrative resolution.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Analyze historical case data to determine average durations for key phases in the timeline.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Produce an actionable, repeatable methodology for legal teams to forecast case timelines and mitigate procedural risks.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2. Scope of Research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research will primarily focus on United States federal frameworks, with comparative analysis of selected state and international standards where relevant. The primary statutes under review include: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False Claims Act (FCA) / Qui Tam:</w:t>
      </w:r>
      <w:r w:rsidDel="00000000" w:rsidR="00000000" w:rsidRPr="00000000">
        <w:rPr>
          <w:rtl w:val="0"/>
        </w:rPr>
        <w:t xml:space="preserve"> Focusing on under-seal periods, government intervention decisions, and litigation timelines.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Dodd-Frank Wall Street Reform and Consumer Protection Act:</w:t>
      </w:r>
      <w:r w:rsidDel="00000000" w:rsidR="00000000" w:rsidRPr="00000000">
        <w:rPr>
          <w:rtl w:val="0"/>
        </w:rPr>
        <w:t xml:space="preserve"> Focusing on SEC and CFTC bounty program administrative timelines.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Sarbanes-Oxley Act (SOX) Section 806:</w:t>
      </w:r>
      <w:r w:rsidDel="00000000" w:rsidR="00000000" w:rsidRPr="00000000">
        <w:rPr>
          <w:rtl w:val="0"/>
        </w:rPr>
        <w:t xml:space="preserve"> Focusing on OSHA administrative complaint windows and federal court "kick-out" provisions.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Military Whistleblower Protection Act (10 U.S.C. § 1034):</w:t>
      </w:r>
      <w:r w:rsidDel="00000000" w:rsidR="00000000" w:rsidRPr="00000000">
        <w:rPr>
          <w:rtl w:val="0"/>
        </w:rPr>
        <w:t xml:space="preserve"> Tracking Inspector General (IG) investigation and service review board timelines.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3. Key Legal Milestones &amp; Timeline Frameworks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The table below illustrates the standard baseline phases and associated legal milestones that this research project will map quantitatively.</w:t>
      </w:r>
    </w:p>
    <w:tbl>
      <w:tblPr>
        <w:tblStyle w:val="Table1"/>
        <w:tblW w:w="9360.0" w:type="dxa"/>
        <w:jc w:val="left"/>
        <w:tblBorders>
          <w:top w:color="ecf0f1" w:space="0" w:sz="6" w:val="single"/>
          <w:left w:color="ecf0f1" w:space="0" w:sz="6" w:val="single"/>
          <w:bottom w:color="ecf0f1" w:space="0" w:sz="6" w:val="single"/>
          <w:right w:color="ecf0f1" w:space="0" w:sz="6" w:val="single"/>
          <w:insideH w:color="ecf0f1" w:space="0" w:sz="6" w:val="single"/>
          <w:insideV w:color="ecf0f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4f7"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Phase</w:t>
            </w:r>
          </w:p>
        </w:tc>
        <w:tc>
          <w:tcPr>
            <w:shd w:fill="f2f4f7"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Key Milestone Event</w:t>
            </w:r>
          </w:p>
        </w:tc>
        <w:tc>
          <w:tcPr>
            <w:shd w:fill="f2f4f7"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Primary Legal / Statutory Driver</w:t>
            </w:r>
          </w:p>
        </w:tc>
        <w:tc>
          <w:tcPr>
            <w:shd w:fill="f2f4f7"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b w:val="1"/>
                <w:bCs w:val="1"/>
                <w:shd w:fill="auto" w:val="clear"/>
              </w:rPr>
            </w:pPr>
            <w:r w:rsidDel="00000000" w:rsidR="00000000" w:rsidRPr="00000000">
              <w:rPr>
                <w:b w:val="1"/>
                <w:bCs w:val="1"/>
                <w:shd w:fill="auto" w:val="clear"/>
                <w:rtl w:val="0"/>
              </w:rPr>
              <w:t xml:space="preserve">Critical Deadline Risk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1. Pre-Filing / Disclosure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Occurrence of Retaliation / Discovery of Fraud</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Statute of Limitations (e.g., 180 days for SOX)</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Immediate forfeiture of claims if window is missed.</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2. Administrative Filing</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Submission to OSHA, SEC, or Court (Under Seal)</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FCA 60-day initial seal period (frequently extended)</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Inadvertent public disclosure violating seal requirements.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3. Investigation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Agency Investigation / Intervention Decision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Government motion for extension of time / stay requests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Prolonged "purgatory" periods lasting several years.</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4. Adjudication / Litigation</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Unsealing of Complaint / Commencement of Trial</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Federal Rules of Civil Procedure (FRCP) deadlines</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Complex discovery protocols and summary judgment motions.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5. Resolution / Appeal</w:t>
            </w:r>
          </w:p>
        </w:tc>
        <w:tc>
          <w:tcPr>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Final Judgment, Settlement, or Award Determination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Appellate filing deadlines; Administrative award appeals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Delays in reward disbursement or reversal on appeal.</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color w:val="2c3e50"/>
        </w:rPr>
      </w:pPr>
      <w:r w:rsidDel="00000000" w:rsidR="00000000" w:rsidRPr="00000000">
        <w:rPr>
          <w:color w:val="2c3e50"/>
          <w:rtl w:val="0"/>
        </w:rPr>
        <w:t xml:space="preserve">4. Methodology &amp; Data Sources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 compile accurate timeline benchmarks, the research will utilize a multi-pronged quantitative and qualitative approach:</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PACER Case Law Scraping &amp; Sampling:</w:t>
      </w:r>
      <w:r w:rsidDel="00000000" w:rsidR="00000000" w:rsidRPr="00000000">
        <w:rPr>
          <w:rtl w:val="0"/>
        </w:rPr>
        <w:t xml:space="preserve"> Analysis of a randomized sample of 200 Qui Tam cases filed between 2015 and 2025 to determine the median time a case remains under seal before an intervention decision.</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Administrative Agency Reports:</w:t>
      </w:r>
      <w:r w:rsidDel="00000000" w:rsidR="00000000" w:rsidRPr="00000000">
        <w:rPr>
          <w:rtl w:val="0"/>
        </w:rPr>
        <w:t xml:space="preserve"> Evaluation of annual reports from the SEC Office of the Whistleblower and OSHA Whistleblower Protection Program to pull aggregate processing and determination statistics.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Legal Treatise Review:</w:t>
      </w:r>
      <w:r w:rsidDel="00000000" w:rsidR="00000000" w:rsidRPr="00000000">
        <w:rPr>
          <w:rtl w:val="0"/>
        </w:rPr>
        <w:t xml:space="preserve"> Consultation of leading secondary sources (e.g., Taxpayers Against Fraud education fund publications, National Whistleblower Center guides) to capture expert consensus on systemic bottlenecks.</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Rule="auto"/>
        <w:rPr>
          <w:color w:val="2c3e50"/>
        </w:rPr>
      </w:pPr>
      <w:r w:rsidDel="00000000" w:rsidR="00000000" w:rsidRPr="00000000">
        <w:rPr>
          <w:color w:val="2c3e50"/>
          <w:rtl w:val="0"/>
        </w:rPr>
        <w:t xml:space="preserve">5. Phase-by-Phase Execution Plan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color w:val="34495e"/>
        </w:rPr>
      </w:pPr>
      <w:r w:rsidDel="00000000" w:rsidR="00000000" w:rsidRPr="00000000">
        <w:rPr>
          <w:color w:val="34495e"/>
          <w:rtl w:val="0"/>
        </w:rPr>
        <w:t xml:space="preserve">Phase 1: Legal Framework Ingestion (Weeks 1–3)</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Map out all strict statutory rules, administrative regulations, and filing instructions for each of the target regimes. Identify any jurisdictional splits regarding tolling or the definition of an "adverse employment action."</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color w:val="34495e"/>
        </w:rPr>
      </w:pPr>
      <w:r w:rsidDel="00000000" w:rsidR="00000000" w:rsidRPr="00000000">
        <w:rPr>
          <w:color w:val="34495e"/>
          <w:rtl w:val="0"/>
        </w:rPr>
        <w:t xml:space="preserve">Phase 2: Empirical Data Gathering (Weeks 4–7)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Extract docket information from federal and administrative courts. Log specific dates: date of disclosure event, date of formal filing, date of unsealing/intervention, date of motion practice, and date of final order.</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color w:val="34495e"/>
        </w:rPr>
      </w:pPr>
      <w:r w:rsidDel="00000000" w:rsidR="00000000" w:rsidRPr="00000000">
        <w:rPr>
          <w:color w:val="34495e"/>
          <w:rtl w:val="0"/>
        </w:rPr>
        <w:t xml:space="preserve">Phase 3: Synthesis &amp; Timeline Modeling (Weeks 8–10)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Process collected dates to establish the mean, median, and standard deviation for each phase. Create comparative duration visual briefs across different industries (e.g., Healthcare vs. Defense Procurement under the FCA).</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color w:val="34495e"/>
        </w:rPr>
      </w:pPr>
      <w:r w:rsidDel="00000000" w:rsidR="00000000" w:rsidRPr="00000000">
        <w:rPr>
          <w:color w:val="34495e"/>
          <w:rtl w:val="0"/>
        </w:rPr>
        <w:t xml:space="preserve">Phase 4: Reporting &amp; Legal Risk Playbook Draft (Weeks 11–12)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tl w:val="0"/>
        </w:rPr>
        <w:t xml:space="preserve">Compile findings into a comprehensive operational playbook. This will include diagnostic checklists for practitioners to identify critical drop-dead dates early in client intake.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color w:val="2c3e50"/>
        </w:rPr>
      </w:pPr>
      <w:r w:rsidDel="00000000" w:rsidR="00000000" w:rsidRPr="00000000">
        <w:rPr>
          <w:color w:val="2c3e50"/>
          <w:rtl w:val="0"/>
        </w:rPr>
        <w:t xml:space="preserve">6. Risk Assessment &amp; Mitigation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Potential challenges to the research plan include the lack of visibility into non-intervened Qui Tam cases that are dismissed while still under seal, as well as heavily redacted settlement agreements. To mitigate this, the research will incorporate statistical weighting adjustments and rely on aggregate data published by the Department of Justice (DOJ) Civil Division for historical context.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