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Chronological Timeline of Whistleblower Activities and Related Legal Events (2022–2026)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synthesizes whistleblower activities, federal filings, and legal statuses for Anthony DiMarcello III and Dr. Ann Verma as recorded in the provided workspace data.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Executive Summary of Whistleblower Activity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following timeline details the period from 2022 through June 2026, marking formal federal submissions and legal developments related to whistleblower protections and reporting.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Year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Milestone/Event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Legal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Initial CFTC Whistleblower filing by Anthony DiMarcello III regarding vulnerable population abuse [cite: 2, 4, 5].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CFTC Whistleblower Program (Confidentiality &amp; Anti-Retaliation protections).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 (Aug)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Illegal eviction of Anthony DiMarcello III by Shea Homes/Woodbridge Meadows via forced sheriff action [cite: 2, 4, 5].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Retaliation against whistleblowing activities (18 U.S.C. § 1513(e)).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Clustered criminal charges filed against user; Involuntary psychiatric hold (administered Abilify without consent) [cite: 2, 4, 5].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Retaliation and destruction of evidence defenses.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 (Feb)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Federal Case 8:2026cv00348 (Jesse Knabb v. City of Huntington Beach, et al.) filed regarding environmental contamination at HBNC [cite: 5].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42 U.S.C. § 6901 (RCRA Environmental Cleanup).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 (May)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May 8: Comprehensive federal distribution of reports to 6 agencies (DOJ, HUD, FinCEN, EPA, IRS, SEC). HUD OIG report blocked by mail flow rule [cite: 2, 4].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 U.S.C. § 1503 (Obstruction of Justice).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 (June)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June 6-10: Activation of mandatory reporter status for chemical contamination (CERCLA) and child trafficking (TVPRA/18 U.S.C. § 1591) [cite: 1, 2].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42 U.S.C. § 9603(d) (Emergency Notification), 22 U.S.C. § 7104.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Federal Statutes, Rules, and Laws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Whistleblowing activities documented in the workspace are governed by the following federal legal framework: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False Claims Act (31 U.S.C. § 3730):</w:t>
      </w:r>
      <w:r w:rsidDel="00000000" w:rsidR="00000000" w:rsidRPr="00000000">
        <w:rPr>
          <w:rtl w:val="0"/>
        </w:rPr>
        <w:t xml:space="preserve"> Governs Qui Tam rights, allowing whistleblowers to bring civil actions on behalf of the government for fraud [cite: 1, 2].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Commodity Exchange Act (7 U.S.C. § 26):</w:t>
      </w:r>
      <w:r w:rsidDel="00000000" w:rsidR="00000000" w:rsidRPr="00000000">
        <w:rPr>
          <w:rtl w:val="0"/>
        </w:rPr>
        <w:t xml:space="preserve"> Relevant to CFTC-related whistleblower tips and enforcement actions [cite: 2].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Obstruction of Justice (18 U.S.C. § 1503):</w:t>
      </w:r>
      <w:r w:rsidDel="00000000" w:rsidR="00000000" w:rsidRPr="00000000">
        <w:rPr>
          <w:rtl w:val="0"/>
        </w:rPr>
        <w:t xml:space="preserve"> Cited regarding the blocking of HUD OIG communications and prevention of testimony [cite: 1, 2].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Retaliation Against Witness/Victim (18 U.S.C. § 1513(e)):</w:t>
      </w:r>
      <w:r w:rsidDel="00000000" w:rsidR="00000000" w:rsidRPr="00000000">
        <w:rPr>
          <w:rtl w:val="0"/>
        </w:rPr>
        <w:t xml:space="preserve"> Protection against retaliatory actions harmful to witnesses or whistleblowers [cite: 1, 2].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CERCLA (42 U.S.C. § 9603(d)):</w:t>
      </w:r>
      <w:r w:rsidDel="00000000" w:rsidR="00000000" w:rsidRPr="00000000">
        <w:rPr>
          <w:rtl w:val="0"/>
        </w:rPr>
        <w:t xml:space="preserve"> Mandatory notification requirements for hazardous substance releases [cite: 1, 2].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Professional Licensing and Statuses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following statuses are identified for the whistleblowers: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Professional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License/Status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Timeframe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Anthony DiMarcello III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FINRA Series 3 Licensed Securities Representative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2017–2021 [cite: 1, 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Dr. Ann Verma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California Medical License (A155456) - Active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2011–Present [cite: 1, 2]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Note: Anthony DiMarcello III's commodities broker license status is cited as a basis for fiduciary claims regarding settlement distribution [cite: 1].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