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Research question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-1-</w:t>
        <w:br w:type="textWrapping"/>
        <w:t xml:space="preserve">VERIFIED COMPLAINT FOR VIOLATIONS OF THE RESOURCE CONSERVATION </w:t>
        <w:br w:type="textWrapping"/>
        <w:t xml:space="preserve">AND RECOVERY ACT (RCRA)</w:t>
        <w:br w:type="textWrapping"/>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t xml:space="preserve">10</w:t>
        <w:br w:type="textWrapping"/>
        <w:t xml:space="preserve">11</w:t>
        <w:br w:type="textWrapping"/>
        <w:t xml:space="preserve">12</w:t>
        <w:br w:type="textWrapping"/>
        <w:t xml:space="preserve">13</w:t>
        <w:br w:type="textWrapping"/>
        <w:t xml:space="preserve">14</w:t>
        <w:br w:type="textWrapping"/>
        <w:t xml:space="preserve">15</w:t>
        <w:br w:type="textWrapping"/>
        <w:t xml:space="preserve">16</w:t>
        <w:br w:type="textWrapping"/>
        <w:t xml:space="preserve">17</w:t>
        <w:br w:type="textWrapping"/>
        <w:t xml:space="preserve">18</w:t>
        <w:br w:type="textWrapping"/>
        <w:t xml:space="preserve">19</w:t>
        <w:br w:type="textWrapping"/>
        <w:t xml:space="preserve">20</w:t>
        <w:br w:type="textWrapping"/>
        <w:t xml:space="preserve">21</w:t>
        <w:br w:type="textWrapping"/>
        <w:t xml:space="preserve">22</w:t>
        <w:br w:type="textWrapping"/>
        <w:t xml:space="preserve">23</w:t>
        <w:br w:type="textWrapping"/>
        <w:t xml:space="preserve">24</w:t>
        <w:br w:type="textWrapping"/>
        <w:t xml:space="preserve">25</w:t>
        <w:br w:type="textWrapping"/>
        <w:t xml:space="preserve">26</w:t>
        <w:br w:type="textWrapping"/>
        <w:t xml:space="preserve">27</w:t>
        <w:br w:type="textWrapping"/>
        <w:t xml:space="preserve">28</w:t>
        <w:br w:type="textWrapping"/>
        <w:t xml:space="preserve">JESSE KNABB</w:t>
        <w:br w:type="textWrapping"/>
        <w:t xml:space="preserve">15161 Van Buren St, Unit 206</w:t>
        <w:br w:type="textWrapping"/>
        <w:t xml:space="preserve">Midway City, CA 92655</w:t>
        <w:br w:type="textWrapping"/>
        <w:t xml:space="preserve">(657) 382-9627</w:t>
        <w:br w:type="textWrapping"/>
        <w:t xml:space="preserve">jesseknabb@gmail.com</w:t>
        <w:br w:type="textWrapping"/>
        <w:t xml:space="preserve">PLAINTIFF IN PRO PER</w:t>
        <w:br w:type="textWrapping"/>
        <w:t xml:space="preserve">UNITED STATES DISTRICT COURT</w:t>
        <w:br w:type="textWrapping"/>
        <w:t xml:space="preserve">CENTRAL DISTRICT OF CALIFORNIA</w:t>
        <w:br w:type="textWrapping"/>
        <w:t xml:space="preserve">SOUTHERN DIVISION</w:t>
        <w:br w:type="textWrapping"/>
        <w:t xml:space="preserve">JESSE KNABB,</w:t>
        <w:br w:type="textWrapping"/>
        <w:t xml:space="preserve">Plaintiff,</w:t>
        <w:br w:type="textWrapping"/>
        <w:t xml:space="preserve">v.</w:t>
        <w:br w:type="textWrapping"/>
        <w:t xml:space="preserve">CITY OF HUNTINGTON BEACH; </w:t>
        <w:br w:type="textWrapping"/>
        <w:t xml:space="preserve">ORANGE COUNTY HEALTH CARE </w:t>
        <w:br w:type="textWrapping"/>
        <w:t xml:space="preserve">AGENCY (OCHCA); CALIFORNIA </w:t>
        <w:br w:type="textWrapping"/>
        <w:t xml:space="preserve">REGIONAL WATER QUALITY </w:t>
        <w:br w:type="textWrapping"/>
        <w:t xml:space="preserve">CONTROL BOARD, SANTA ANA </w:t>
        <w:br w:type="textWrapping"/>
        <w:t xml:space="preserve">REGION 8 (RWQCB); EEC </w:t>
        <w:br w:type="textWrapping"/>
        <w:t xml:space="preserve">ENVIRONMENTAL; MERCY HOUSE </w:t>
        <w:br w:type="textWrapping"/>
        <w:t xml:space="preserve">LIVING CENTERS, INC; MITSURU </w:t>
        <w:br w:type="textWrapping"/>
        <w:t xml:space="preserve">YAMADA; DOES 1-100,</w:t>
        <w:br w:type="textWrapping"/>
        <w:t xml:space="preserve">Defendants,</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w:t>
        <w:br w:type="textWrapping"/>
        <w:t xml:space="preserve">Case No.: </w:t>
        <w:br w:type="textWrapping"/>
        <w:t xml:space="preserve">VERIFIED COMPLAINT FOR:</w:t>
        <w:br w:type="textWrapping"/>
        <w:t xml:space="preserve">1. VIOLATIONS OF THE</w:t>
        <w:br w:type="textWrapping"/>
        <w:t xml:space="preserve">RESOURCE CONSERVATION</w:t>
        <w:br w:type="textWrapping"/>
        <w:t xml:space="preserve">AND RECOVERY ACT</w:t>
        <w:br w:type="textWrapping"/>
        <w:t xml:space="preserve">(RCRA), 42 U.S.C.</w:t>
        <w:br w:type="textWrapping"/>
        <w:t xml:space="preserve">§6972(A)(1)(B) (IMMINENT</w:t>
        <w:br w:type="textWrapping"/>
        <w:t xml:space="preserve">AND SUBSTANTIAL</w:t>
        <w:br w:type="textWrapping"/>
        <w:t xml:space="preserve">ENDANGERMENT);</w:t>
        <w:br w:type="textWrapping"/>
        <w:t xml:space="preserve">2. VIOLATIONS OF RCRA, 42</w:t>
        <w:br w:type="textWrapping"/>
        <w:t xml:space="preserve">U.S.C. § 6972(A)(1)(A)</w:t>
        <w:br w:type="textWrapping"/>
        <w:t xml:space="preserve">(ILLEGAL DISPOSAL);</w:t>
        <w:br w:type="textWrapping"/>
        <w:t xml:space="preserve">3. VIOLATIONS OF TITLE VI OF</w:t>
        <w:br w:type="textWrapping"/>
        <w:t xml:space="preserve">THE CIVIL RIGHTS ACT, 42</w:t>
        <w:br w:type="textWrapping"/>
        <w:t xml:space="preserve">U.S.C. § 2000d, AND ITS</w:t>
        <w:br w:type="textWrapping"/>
        <w:t xml:space="preserve">IMPLEMENTING</w:t>
        <w:br w:type="textWrapping"/>
        <w:t xml:space="preserve">REGULATIONS (DISPARATE</w:t>
        <w:br w:type="textWrapping"/>
        <w:t xml:space="preserve">IMPACT);</w:t>
        <w:br w:type="textWrapping"/>
        <w:t xml:space="preserve">4. DECLARATORY AND</w:t>
        <w:br w:type="textWrapping"/>
        <w:t xml:space="preserve">INJUNCTIVE RELIEF.</w:t>
        <w:br w:type="textWrapping"/>
        <w:t xml:space="preserve">JURY TRIAL DEMANDED</w:t>
        <w:br w:type="textWrapping"/>
        <w:t xml:space="preserve">8:26-cv-00348-JWH-(ADSx)</w:t>
        <w:br w:type="textWrapping"/>
        <w:t xml:space="preserve">CV-60 PROVIDED</w:t>
        <w:br w:type="textWrapping"/>
        <w:t xml:space="preserve">NO SUMMONS </w:t>
        <w:br w:type="textWrapping"/>
        <w:t xml:space="preserve">2/14/2026</w:t>
        <w:br w:type="textWrapping"/>
        <w:t xml:space="preserve">EC</w:t>
        <w:br w:type="textWrapping"/>
        <w:t xml:space="preserve">Case 8:26-cv-00348-JWH-ADS Document 1 Filed 02/14/26 Page 1 of 59 Page ID</w:t>
        <w:br w:type="textWrapping"/>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Expanded report    •    All Federal</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5905500" cy="19050"/>
                <wp:effectExtent b="0" l="0" r="0" t="0"/>
                <wp:wrapNone/>
                <wp:docPr id="4" name=""/>
                <a:graphic>
                  <a:graphicData uri="http://schemas.microsoft.com/office/word/2010/wordprocessingShape">
                    <wps:wsp>
                      <wps:cNvCnPr/>
                      <wps:spPr>
                        <a:xfrm>
                          <a:off x="2393250" y="3780000"/>
                          <a:ext cx="590550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5905500" cy="1905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05500" cy="1905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Based on your question, this response is focused on DCTCA, not the original selection of All Federal.</w:t>
        <w:br w:type="textWrapping"/>
      </w:r>
    </w:p>
    <w:p w:rsidR="00000000" w:rsidDel="00000000" w:rsidP="00000000" w:rsidRDefault="00000000" w:rsidRPr="00000000" w14:paraId="00000009">
      <w:pPr>
        <w:pStyle w:val="Heading3"/>
        <w:rPr>
          <w:b w:val="0"/>
          <w:bCs w:val="0"/>
          <w:i w:val="0"/>
          <w:iCs w:val="0"/>
          <w:strike w:val="0"/>
        </w:rPr>
      </w:pPr>
      <w:r w:rsidDel="00000000" w:rsidR="00000000" w:rsidRPr="00000000">
        <w:rPr>
          <w:b w:val="1"/>
          <w:bCs w:val="1"/>
          <w:u w:val="none"/>
          <w:rtl w:val="0"/>
        </w:rPr>
        <w:t xml:space="preserve">Summary</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verified complaint presents viable federal claims under both the Resource Conservation and Recovery Act (RCRA) and Title VI of the Civil Rights Act of 1964. Under RCRA, plaintiff can pursue citizen suit claims under 42 U.S.C. §6972(a)(1)(A) for violations of permits, standards, or regulations, and under §6972(a)(1)(B) for imminent and substantial endangerment to health or the environment. For the endangerment claim, plaintiff must establish that defendants are generators, transporters, or facility operators who contributed to waste handling that may present imminent and substantial endangerment. Under Title VI, plaintiff can assert intentional discrimination claims against federally funded defendants based on race, color, or national origin. Both claims require compliance with specific notice provisions and standing requirements under Article III. California federal district courts have recognized these claims but apply strict scrutiny to ensure plaintiffs meet all statutory elements, particularly the "imminent and substantial endangerment" standard under RCRA and the federal funding nexus under Title VI.</w:t>
        <w:br w:type="textWrapping"/>
      </w:r>
    </w:p>
    <w:p w:rsidR="00000000" w:rsidDel="00000000" w:rsidP="00000000" w:rsidRDefault="00000000" w:rsidRPr="00000000" w14:paraId="0000000B">
      <w:pPr>
        <w:pStyle w:val="Heading3"/>
        <w:rPr>
          <w:b w:val="0"/>
          <w:bCs w:val="0"/>
          <w:i w:val="0"/>
          <w:iCs w:val="0"/>
          <w:strike w:val="0"/>
        </w:rPr>
      </w:pPr>
      <w:r w:rsidDel="00000000" w:rsidR="00000000" w:rsidRPr="00000000">
        <w:rPr>
          <w:b w:val="1"/>
          <w:bCs w:val="1"/>
          <w:u w:val="none"/>
          <w:rtl w:val="0"/>
        </w:rPr>
        <w:t xml:space="preserve">RCRA Citizen Suit Framework</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RCRA authorizes two distinct types of citizen suits under 42 U.S.C. §6972. The first, under §6972(a)(1)(A), permits suits "against any person who is alleged to be in violation of any permit, standard, regulation, condition, requirement, prohibition, or order which has become effective pursuant to this chapter." </w:t>
      </w:r>
      <w:hyperlink r:id="rId7">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This provision requires proof of past or present violations of specific RCRA requirements. The second, under §6972(a)(1)(B), allows suits against persons "who has contributed or who is contributing to the past or present handling, storage, treatment, transportation, or disposal of any solid or hazardous waste which may present an imminent and substantial endangerment to health or the environment." </w:t>
      </w:r>
      <w:hyperlink r:id="rId8">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Ninth Circuit has established a three-part test for §6972(a)(1)(B) claims.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Ecological Rights Foundation v. Pacific Gas and Electric Co.</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court held that "a plaintiff asserting an 'imminent and substantial endangerment' claim under RCRA must allege: (1) 'the defendant has been or is a generator or transporter of solid or hazardous waste, or is or has been an operator of a solid or hazardous waste treatment, storage or disposal facility;' (2) 'the defendant has "contributed" or "is contributing to" the handling, storage, treatment, transportation, or disposal of solid or hazardous waste;' and (3) 'the solid or hazardous waste in question may present an imminent and substantial endangerment to health or the environment.'"  </w:t>
      </w:r>
      <w:hyperlink r:id="rId9">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Ecological Rights Foundation v. Pacific Gas and Elec. Co., 713 F.3d 502 (2013)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"imminent and substantial endangerment" standard requires careful analysis. Courts have explained that "[a]n endangerment can only be 'imminent' if it 'threatens to occur immediately.'"  </w:t>
      </w:r>
      <w:hyperlink r:id="rId10">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Fresno v. U.S., 709 F.Supp.2d 888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This language "implies that there must be a threat which is present now, although the impact of the threat may not be felt until later."  </w:t>
      </w:r>
      <w:hyperlink r:id="rId11">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Fresno v. U.S., 709 F.Supp.2d 888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However, courts have emphasized that "to show an 'imminent and substantial' threat, the plaintiff must do more than establish the presence of solid or hazardous wastes at a site."  </w:t>
      </w:r>
      <w:hyperlink r:id="rId12">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Fresno v. U.S., 709 F.Supp.2d 888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Instead, "endangerment must [be shown to] be substantial or serious, and there must be some necessity for the action."  </w:t>
      </w:r>
      <w:hyperlink r:id="rId13">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Fresno v. U.S., 709 F.Supp.2d 888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0F">
      <w:pPr>
        <w:pStyle w:val="Heading3"/>
        <w:rPr>
          <w:b w:val="0"/>
          <w:bCs w:val="0"/>
          <w:i w:val="0"/>
          <w:iCs w:val="0"/>
          <w:strike w:val="0"/>
        </w:rPr>
      </w:pPr>
      <w:r w:rsidDel="00000000" w:rsidR="00000000" w:rsidRPr="00000000">
        <w:rPr>
          <w:b w:val="1"/>
          <w:bCs w:val="1"/>
          <w:u w:val="none"/>
          <w:rtl w:val="0"/>
        </w:rPr>
        <w:t xml:space="preserve">RCRA Procedural Requirements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RCRA citizen suits are subject to mandatory notice requirements that serve as conditions precedent to filing suit. Under 42 U.S.C. §6972(b)(2)(A), "no action may be commenced under subsection (a)(1)(B) of this section prior to ninety days after the plaintiff has given notice of the endangerment to" the EPA Administrator, the relevant state, and any alleged violator. </w:t>
      </w:r>
      <w:hyperlink r:id="rId14">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Supreme Court established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Hallstrom v. Tillamook County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this notice requirement is a mandatory condition precedent that cannot be waived.  </w:t>
      </w:r>
      <w:hyperlink r:id="rId15">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Hallstrom v. Tillamook County, 493 U.S. 20 (1989)</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California federal district courts strictly enforce these notice provisions.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City of Colton v. American Promotional Events, Inc.</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Central District explained that the notice requirement "serves two distinct purposes: first, notice allows government agencies to take responsibility for enforcing environmental regulations, thus obviating the need for citizen suits, and second, notice gives the alleged violator an opportunity to bring itself into complete compliance with the RCRA, and thus likewise render unnecessary a citizen suit." </w:t>
      </w:r>
      <w:hyperlink r:id="rId16">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Colton v. American Promotional Events, Inc., 824 F.Supp.2d 1015 (2011)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court emphasized that the 90-day period is clear and mandatory, stating it "could not be clearer, and lawsuits commenced before the end of the statutorily proscribed period are prohibited." </w:t>
      </w:r>
      <w:hyperlink r:id="rId17">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City of Colton v. American Promotional Events, Inc., 824 F.Supp.2d 1015 (2011)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2">
      <w:pPr>
        <w:pStyle w:val="Heading3"/>
        <w:rPr>
          <w:b w:val="0"/>
          <w:bCs w:val="0"/>
          <w:i w:val="0"/>
          <w:iCs w:val="0"/>
          <w:strike w:val="0"/>
        </w:rPr>
      </w:pPr>
      <w:r w:rsidDel="00000000" w:rsidR="00000000" w:rsidRPr="00000000">
        <w:rPr>
          <w:b w:val="1"/>
          <w:bCs w:val="1"/>
          <w:u w:val="none"/>
          <w:rtl w:val="0"/>
        </w:rPr>
        <w:t xml:space="preserve">Title VI Civil Rights Framework</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Title VI of the Civil Rights Act prohibits discrimination in federally funded programs, providing that "no person in the United States shall, on the ground of race, color, or national origin, be excluded from participation in, be denied the benefits of, or be subjected to discrimination under any program or activity receiving Federal financial assistance."  </w:t>
      </w:r>
      <w:hyperlink r:id="rId18">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§ 2000d</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California federal district courts recognize both intentional discrimination and disparate impact claims under Title VI, though they apply different standards and enforcement mechanisms.</w:t>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For intentional discrimination claims, courts apply the framework established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Alexander v. Sandoval</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which permits private rights of action under Title VI itself for deliberate discrimination.  </w:t>
      </w:r>
      <w:hyperlink r:id="rId19">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Alexander v. Sandoval, 532 U.S. 275 (2001)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Northern District of California explained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Cabrera v. Alvarez</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plaintiffs must adequately allege "facts to support an inference that defendants' decision not to provide language translation services, and their decision to rebuff any efforts by Ms. Cabrera to improve the conditions in her rental unit, were motivated by discriminatory intent." </w:t>
      </w:r>
      <w:hyperlink r:id="rId20">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Cabrera v. Alvarez, 977 F.Supp.2d 969 (2013)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court noted that "because plaintiffs have adequately alleged facts to support a claim for intentional discrimination under Title VI, and because the SFHA receives federal funding pursuant to the United States Housing Act, the Court concludes that plaintiffs have stated a claim for intentional discrimination under Title VI." </w:t>
      </w:r>
      <w:hyperlink r:id="rId21">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Cabrera v. Alvarez, 977 F.Supp.2d 969 (2013)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Disparate impact claims under Title VI face more complex procedural requirements. The Northern District of California recognized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Association of Mexican-American Educators v. State of California</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"the Supreme Court has concluded that Title VI itself prohibits only intentional discrimination, but that disparate impact claims may nonetheless be redressed through agency regulations designed to implement Title VI." </w:t>
      </w:r>
      <w:hyperlink r:id="rId22">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Association of Mexican-American Educators v. State of Cal., 937 F.Supp. 1397 (1996)</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court explained that "courts have generally applied the standards applicable to disparate impact cases under Title VII to disparate impact cases arising under Title VI," but noted that "the Title VI standard arguably imposes a lower burden on defendants, who need only show that 'a substantial legitimate justification' exists for the challenged practice." </w:t>
      </w:r>
      <w:hyperlink r:id="rId23">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Association of Mexican-American Educators v. State of Cal., 937 F.Supp. 1397 (1996)</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6">
      <w:pPr>
        <w:pStyle w:val="Heading3"/>
        <w:rPr>
          <w:b w:val="0"/>
          <w:bCs w:val="0"/>
          <w:i w:val="0"/>
          <w:iCs w:val="0"/>
          <w:strike w:val="0"/>
        </w:rPr>
      </w:pPr>
      <w:r w:rsidDel="00000000" w:rsidR="00000000" w:rsidRPr="00000000">
        <w:rPr>
          <w:b w:val="1"/>
          <w:bCs w:val="1"/>
          <w:u w:val="none"/>
          <w:rtl w:val="0"/>
        </w:rPr>
        <w:t xml:space="preserve">Environmental Justice and Title VI Intersection</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California federal district courts have recognized that plaintiffs may file Title VI administrative complaints alleging environmental discrimination, though judicial enforcement typically addresses procedural rather than substantive issues. Plaintiffs have filed administrative complaints alleging that state agencies and facility owners discriminated in the siting, permitting, expansion, and operation of waste facilities, though federal courts reviewing such complaints have typically addressed only administrative procedure issues rather than the merits of discrimination claims.</w:t>
        <w:br w:type="textWrapp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intersection of RCRA and Title VI claims creates unique procedural considerations. Both statutes can apply to entities receiving federal funding, creating potential overlap in defendants. However, the claims address different legal theories—RCRA focuses on waste management violations and environmental endangerment, while Title VI addresses discrimination in federally funded programs. This dual approach allows plaintiffs to seek both facility-specific environmental remedies and broader systemic relief for discriminatory practices.</w:t>
        <w:br w:type="textWrapping"/>
      </w:r>
    </w:p>
    <w:p w:rsidR="00000000" w:rsidDel="00000000" w:rsidP="00000000" w:rsidRDefault="00000000" w:rsidRPr="00000000" w14:paraId="00000019">
      <w:pPr>
        <w:pStyle w:val="Heading3"/>
        <w:rPr>
          <w:b w:val="0"/>
          <w:bCs w:val="0"/>
          <w:i w:val="0"/>
          <w:iCs w:val="0"/>
          <w:strike w:val="0"/>
        </w:rPr>
      </w:pPr>
      <w:r w:rsidDel="00000000" w:rsidR="00000000" w:rsidRPr="00000000">
        <w:rPr>
          <w:b w:val="1"/>
          <w:bCs w:val="1"/>
          <w:u w:val="none"/>
          <w:rtl w:val="0"/>
        </w:rPr>
        <w:t xml:space="preserve">Standing and Jurisdictional Requirements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Both RCRA and Title VI claims require satisfaction of Article III standing requirements. For RCRA claims, the Northern District of California recognized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San Francisco Herring Association v. Pacific Gas &amp; Electric Co.</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environmental plaintiffs must establish injury-in-fact, causation, and redressability. </w:t>
      </w:r>
      <w:hyperlink r:id="rId24">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San Francisco Herring Association v. Pacific Gas and Electric Company, 81 F.Supp.3d 847 (2015)</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court found that both an association representing fishermen and an individual resident had standing to bring RCRA claims based on allegations of ongoing contamination affecting their interests. </w:t>
      </w:r>
      <w:hyperlink r:id="rId25">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San Francisco Herring Association v. Pacific Gas and Electric Company, 81 F.Supp.3d 847 (2015)</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RCRA explicitly grants federal district courts jurisdiction "without regard to the amount in controversy or the citizenship of the parties" to enforce permits and regulations under §6972(a)(1)(A) and "to restrain any person who has contributed or who is contributing to the past or present handling, storage, treatment, transportation, or disposal of any solid or hazardous waste" under §6972(a)(1)(B). </w:t>
      </w:r>
      <w:hyperlink r:id="rId26">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Actions must be brought "in the district court for the district in which the alleged violation occurred or the alleged endangerment may occur." </w:t>
      </w:r>
      <w:hyperlink r:id="rId27">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Title VI claims require demonstration that defendants receive federal financial assistance. The Eastern District of California emphasized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Clarke v. Upton</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applying the standard from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Epileptic Foundation v. City and County of Maui</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plaintiffs must establish that they are intended beneficiaries of federally-funded programs and that defendants intentionally discriminated against them in violation of the statute. </w:t>
      </w:r>
      <w:hyperlink r:id="rId28">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Clarke v. Upton, 703 F.Supp.2d 1037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Eastern District dismissed Title VI claims where the complaint contained no allegation that "either the Department of Social Services or the County of Madera is receiving federal financial assistance or that Plaintiff is an intended beneficiary of the federally-funded program." </w:t>
      </w:r>
      <w:hyperlink r:id="rId29">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Clarke v. Upton, 703 F.Supp.2d 1037 (2010)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D">
      <w:pPr>
        <w:pStyle w:val="Heading3"/>
        <w:rPr>
          <w:b w:val="0"/>
          <w:bCs w:val="0"/>
          <w:i w:val="0"/>
          <w:iCs w:val="0"/>
          <w:strike w:val="0"/>
        </w:rPr>
      </w:pPr>
      <w:r w:rsidDel="00000000" w:rsidR="00000000" w:rsidRPr="00000000">
        <w:rPr>
          <w:b w:val="1"/>
          <w:bCs w:val="1"/>
          <w:u w:val="none"/>
          <w:rtl w:val="0"/>
        </w:rPr>
        <w:t xml:space="preserve">Available Remedies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RCRA citizen suits provide broad remedial authority. Under 42 U.S.C. §6972(a), district courts have jurisdiction "to enforce the permit, standard, regulation, condition, requirement, prohibition, or order, referred to in paragraph (1)(A), to restrain any person who has contributed or who is contributing to the past or present handling, storage, treatment, transportation, or disposal of any solid or hazardous waste referred to in paragraph (1)(B), to order such person to take such other action as may be necessary, or both." </w:t>
      </w:r>
      <w:hyperlink r:id="rId30">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§ 6972</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The Central District of California noted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Jim 72 Properties, LLC v. Montgomery Cleaners</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that RCRA claims are "primarily remedial, and therefore survivable and assignable," as the statute aims to address individual harms and focuses "not just environmental waste clean-up, but also the health of those who have been harmed by toxic waste."  </w:t>
      </w:r>
      <w:hyperlink r:id="rId31">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Jim 72 Properties, LLC v. Montgomery Clearners, 151 F.Supp.3d 1092 (2015)</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Title VI remedies include both injunctive relief and funding termination. Under 42 U.S.C. §2000d-1, federal agencies can effectuate Title VI's non-discrimination requirement through "termination of or refusal to grant or to continue assistance" to non-complying recipients, though such action must be "limited to the particular political entity, or part thereof, or other recipient" where non-compliance is found and "limited in its effect to the particular program, or part thereof, in which such noncompliance has been so found."  </w:t>
      </w:r>
      <w:hyperlink r:id="rId32">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42 USCA § 2000d-1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20">
      <w:pPr>
        <w:pStyle w:val="Heading3"/>
        <w:rPr>
          <w:b w:val="0"/>
          <w:bCs w:val="0"/>
          <w:i w:val="0"/>
          <w:iCs w:val="0"/>
          <w:strike w:val="0"/>
        </w:rPr>
      </w:pPr>
      <w:r w:rsidDel="00000000" w:rsidR="00000000" w:rsidRPr="00000000">
        <w:rPr>
          <w:b w:val="1"/>
          <w:bCs w:val="1"/>
          <w:u w:val="none"/>
          <w:rtl w:val="0"/>
        </w:rPr>
        <w:t xml:space="preserve">Arguments and Rebuttals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21">
      <w:pPr>
        <w:pStyle w:val="Heading4"/>
        <w:rPr>
          <w:b w:val="0"/>
          <w:bCs w:val="0"/>
          <w:i w:val="0"/>
          <w:iCs w:val="0"/>
          <w:strike w:val="0"/>
        </w:rPr>
      </w:pPr>
      <w:r w:rsidDel="00000000" w:rsidR="00000000" w:rsidRPr="00000000">
        <w:rPr>
          <w:b w:val="1"/>
          <w:bCs w:val="1"/>
          <w:u w:val="none"/>
          <w:rtl w:val="0"/>
        </w:rPr>
        <w:t xml:space="preserve">Arguments Supporting Plaintiff's Claims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22">
      <w:pPr>
        <w:numPr>
          <w:ilvl w:val="0"/>
          <w:numId w:val="2"/>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Broad RCRA Enforcement Authority</w:t>
      </w:r>
      <w:r w:rsidDel="00000000" w:rsidR="00000000" w:rsidRPr="00000000">
        <w:rPr>
          <w:rtl w:val="0"/>
        </w:rPr>
      </w:r>
    </w:p>
    <w:p w:rsidR="00000000" w:rsidDel="00000000" w:rsidP="00000000" w:rsidRDefault="00000000" w:rsidRPr="00000000" w14:paraId="00000023">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RCRA's citizen suit provision under §6972(a)(1)(B) contains expansive language allowing suits against any past or present generator, transporter, or facility operator who contributed to waste handling creating potential endangerment.</w:t>
      </w:r>
      <w:r w:rsidDel="00000000" w:rsidR="00000000" w:rsidRPr="00000000">
        <w:rPr>
          <w:rtl w:val="0"/>
        </w:rPr>
      </w:r>
    </w:p>
    <w:p w:rsidR="00000000" w:rsidDel="00000000" w:rsidP="00000000" w:rsidRDefault="00000000" w:rsidRPr="00000000" w14:paraId="00000024">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California federal courts have allowed RCRA claims to proceed where plaintiffs adequately allege the three-part endangerment test established by the Ninth Circuit.</w:t>
      </w:r>
      <w:r w:rsidDel="00000000" w:rsidR="00000000" w:rsidRPr="00000000">
        <w:rPr>
          <w:rtl w:val="0"/>
        </w:rPr>
      </w:r>
    </w:p>
    <w:p w:rsidR="00000000" w:rsidDel="00000000" w:rsidP="00000000" w:rsidRDefault="00000000" w:rsidRPr="00000000" w14:paraId="00000025">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 "imminent" endangerment standard does not require immediate harm but can exist where threat factors are present now, even if harm manifests later, as recognized in </w:t>
      </w:r>
      <w:r w:rsidDel="00000000" w:rsidR="00000000" w:rsidRPr="00000000">
        <w:rPr>
          <w:rFonts w:ascii="Arial" w:cs="Arial" w:eastAsia="Arial" w:hAnsi="Arial"/>
          <w:b w:val="0"/>
          <w:bCs w:val="0"/>
          <w:i w:val="1"/>
          <w:iCs w:val="1"/>
          <w:strike w:val="0"/>
          <w:color w:val="1d1d1d"/>
          <w:u w:val="none"/>
          <w:rtl w:val="0"/>
        </w:rPr>
        <w:t xml:space="preserve">California Department of Toxic Substances Control v. Interstate Non-Ferrous Corp</w:t>
      </w:r>
      <w:r w:rsidDel="00000000" w:rsidR="00000000" w:rsidRPr="00000000">
        <w:rPr>
          <w:rFonts w:ascii="Arial" w:cs="Arial" w:eastAsia="Arial" w:hAnsi="Arial"/>
          <w:b w:val="0"/>
          <w:bCs w:val="0"/>
          <w:i w:val="0"/>
          <w:iCs w:val="0"/>
          <w:strike w:val="0"/>
          <w:color w:val="1d1d1d"/>
          <w:u w:val="none"/>
          <w:rtl w:val="0"/>
        </w:rPr>
        <w:t xml:space="preserve">.</w:t>
      </w:r>
      <w:r w:rsidDel="00000000" w:rsidR="00000000" w:rsidRPr="00000000">
        <w:rPr>
          <w:rtl w:val="0"/>
        </w:rPr>
      </w:r>
    </w:p>
    <w:p w:rsidR="00000000" w:rsidDel="00000000" w:rsidP="00000000" w:rsidRDefault="00000000" w:rsidRPr="00000000" w14:paraId="00000026">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27">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Defendants will argue that mere presence of hazardous waste is insufficient without proof of actual imminent endangerment requiring necessity for action.</w:t>
      </w:r>
      <w:r w:rsidDel="00000000" w:rsidR="00000000" w:rsidRPr="00000000">
        <w:rPr>
          <w:rtl w:val="0"/>
        </w:rPr>
      </w:r>
    </w:p>
    <w:p w:rsidR="00000000" w:rsidDel="00000000" w:rsidP="00000000" w:rsidRDefault="00000000" w:rsidRPr="00000000" w14:paraId="00000028">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may contend that ongoing remediation or government oversight eliminates any "imminent" threat to health or environment.</w:t>
      </w:r>
      <w:r w:rsidDel="00000000" w:rsidR="00000000" w:rsidRPr="00000000">
        <w:rPr>
          <w:rtl w:val="0"/>
        </w:rPr>
      </w:r>
    </w:p>
    <w:p w:rsidR="00000000" w:rsidDel="00000000" w:rsidP="00000000" w:rsidRDefault="00000000" w:rsidRPr="00000000" w14:paraId="00000029">
      <w:pPr>
        <w:numPr>
          <w:ilvl w:val="0"/>
          <w:numId w:val="2"/>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Environmental Justice Under Title VI</w:t>
      </w:r>
      <w:r w:rsidDel="00000000" w:rsidR="00000000" w:rsidRPr="00000000">
        <w:rPr>
          <w:rtl w:val="0"/>
        </w:rPr>
      </w:r>
    </w:p>
    <w:p w:rsidR="00000000" w:rsidDel="00000000" w:rsidP="00000000" w:rsidRDefault="00000000" w:rsidRPr="00000000" w14:paraId="0000002A">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Title VI prohibits discrimination in federally funded programs, including environmental permitting and oversight activities that disproportionately impact minority communities.</w:t>
      </w:r>
      <w:r w:rsidDel="00000000" w:rsidR="00000000" w:rsidRPr="00000000">
        <w:rPr>
          <w:rtl w:val="0"/>
        </w:rPr>
      </w:r>
    </w:p>
    <w:p w:rsidR="00000000" w:rsidDel="00000000" w:rsidP="00000000" w:rsidRDefault="00000000" w:rsidRPr="00000000" w14:paraId="0000002B">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Federal funding received by state and local agencies for environmental programs creates the jurisdictional nexus required for Title VI claims.</w:t>
      </w:r>
      <w:r w:rsidDel="00000000" w:rsidR="00000000" w:rsidRPr="00000000">
        <w:rPr>
          <w:rtl w:val="0"/>
        </w:rPr>
      </w:r>
    </w:p>
    <w:p w:rsidR="00000000" w:rsidDel="00000000" w:rsidP="00000000" w:rsidRDefault="00000000" w:rsidRPr="00000000" w14:paraId="0000002C">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Plaintiffs can establish intentional discrimination through circumstantial evidence and patterns of decision-making affecting protected communities.</w:t>
      </w:r>
      <w:r w:rsidDel="00000000" w:rsidR="00000000" w:rsidRPr="00000000">
        <w:rPr>
          <w:rtl w:val="0"/>
        </w:rPr>
      </w:r>
    </w:p>
    <w:p w:rsidR="00000000" w:rsidDel="00000000" w:rsidP="00000000" w:rsidRDefault="00000000" w:rsidRPr="00000000" w14:paraId="0000002D">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2E">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Defendants will argue that disparate impact claims require administrative enforcement rather than private litigation under </w:t>
      </w:r>
      <w:r w:rsidDel="00000000" w:rsidR="00000000" w:rsidRPr="00000000">
        <w:rPr>
          <w:rFonts w:ascii="Arial" w:cs="Arial" w:eastAsia="Arial" w:hAnsi="Arial"/>
          <w:b w:val="0"/>
          <w:bCs w:val="0"/>
          <w:i w:val="1"/>
          <w:iCs w:val="1"/>
          <w:strike w:val="0"/>
          <w:color w:val="1d1d1d"/>
          <w:u w:val="none"/>
          <w:rtl w:val="0"/>
        </w:rPr>
        <w:t xml:space="preserve">Alexander v. Sandoval</w:t>
      </w:r>
      <w:r w:rsidDel="00000000" w:rsidR="00000000" w:rsidRPr="00000000">
        <w:rPr>
          <w:rFonts w:ascii="Arial" w:cs="Arial" w:eastAsia="Arial" w:hAnsi="Arial"/>
          <w:b w:val="0"/>
          <w:bCs w:val="0"/>
          <w:i w:val="0"/>
          <w:iCs w:val="0"/>
          <w:strike w:val="0"/>
          <w:color w:val="1d1d1d"/>
          <w:u w:val="none"/>
          <w:rtl w:val="0"/>
        </w:rPr>
        <w:t xml:space="preserve">.</w:t>
      </w:r>
      <w:r w:rsidDel="00000000" w:rsidR="00000000" w:rsidRPr="00000000">
        <w:rPr>
          <w:rtl w:val="0"/>
        </w:rPr>
      </w:r>
    </w:p>
    <w:p w:rsidR="00000000" w:rsidDel="00000000" w:rsidP="00000000" w:rsidRDefault="00000000" w:rsidRPr="00000000" w14:paraId="0000002F">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may contend that environmental permitting decisions were based on legitimate regulatory factors rather than discriminatory intent.</w:t>
      </w:r>
      <w:r w:rsidDel="00000000" w:rsidR="00000000" w:rsidRPr="00000000">
        <w:rPr>
          <w:rtl w:val="0"/>
        </w:rPr>
      </w:r>
    </w:p>
    <w:p w:rsidR="00000000" w:rsidDel="00000000" w:rsidP="00000000" w:rsidRDefault="00000000" w:rsidRPr="00000000" w14:paraId="00000030">
      <w:pPr>
        <w:numPr>
          <w:ilvl w:val="0"/>
          <w:numId w:val="2"/>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Comprehensive Remedial Authority</w:t>
      </w:r>
      <w:r w:rsidDel="00000000" w:rsidR="00000000" w:rsidRPr="00000000">
        <w:rPr>
          <w:rtl w:val="0"/>
        </w:rPr>
      </w:r>
    </w:p>
    <w:p w:rsidR="00000000" w:rsidDel="00000000" w:rsidP="00000000" w:rsidRDefault="00000000" w:rsidRPr="00000000" w14:paraId="00000031">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RCRA's remedial framework allows courts to order broad corrective action beyond mere cessation of violations.</w:t>
      </w:r>
      <w:r w:rsidDel="00000000" w:rsidR="00000000" w:rsidRPr="00000000">
        <w:rPr>
          <w:rtl w:val="0"/>
        </w:rPr>
      </w:r>
    </w:p>
    <w:p w:rsidR="00000000" w:rsidDel="00000000" w:rsidP="00000000" w:rsidRDefault="00000000" w:rsidRPr="00000000" w14:paraId="00000032">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Title VI's enforcement mechanisms can address systemic discrimination through policy changes and oversight requirements.</w:t>
      </w:r>
      <w:r w:rsidDel="00000000" w:rsidR="00000000" w:rsidRPr="00000000">
        <w:rPr>
          <w:rtl w:val="0"/>
        </w:rPr>
      </w:r>
    </w:p>
    <w:p w:rsidR="00000000" w:rsidDel="00000000" w:rsidP="00000000" w:rsidRDefault="00000000" w:rsidRPr="00000000" w14:paraId="00000033">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 combination of claims provides multiple avenues for relief addressing both immediate environmental threats and underlying discriminatory practices.</w:t>
      </w:r>
      <w:r w:rsidDel="00000000" w:rsidR="00000000" w:rsidRPr="00000000">
        <w:rPr>
          <w:rtl w:val="0"/>
        </w:rPr>
      </w:r>
    </w:p>
    <w:p w:rsidR="00000000" w:rsidDel="00000000" w:rsidP="00000000" w:rsidRDefault="00000000" w:rsidRPr="00000000" w14:paraId="00000034">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35">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Defendants may argue that remedies should be limited to specific violations rather than broad systemic changes.</w:t>
      </w:r>
      <w:r w:rsidDel="00000000" w:rsidR="00000000" w:rsidRPr="00000000">
        <w:rPr>
          <w:rtl w:val="0"/>
        </w:rPr>
      </w:r>
    </w:p>
    <w:p w:rsidR="00000000" w:rsidDel="00000000" w:rsidP="00000000" w:rsidRDefault="00000000" w:rsidRPr="00000000" w14:paraId="00000036">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might contend that administrative agencies rather than courts should determine appropriate environmental remedies.</w:t>
      </w:r>
      <w:r w:rsidDel="00000000" w:rsidR="00000000" w:rsidRPr="00000000">
        <w:rPr>
          <w:rtl w:val="0"/>
        </w:rPr>
      </w:r>
    </w:p>
    <w:p w:rsidR="00000000" w:rsidDel="00000000" w:rsidP="00000000" w:rsidRDefault="00000000" w:rsidRPr="00000000" w14:paraId="00000037">
      <w:pPr>
        <w:pStyle w:val="Heading4"/>
        <w:rPr>
          <w:b w:val="0"/>
          <w:bCs w:val="0"/>
          <w:i w:val="0"/>
          <w:iCs w:val="0"/>
          <w:strike w:val="0"/>
        </w:rPr>
      </w:pPr>
      <w:r w:rsidDel="00000000" w:rsidR="00000000" w:rsidRPr="00000000">
        <w:rPr>
          <w:b w:val="1"/>
          <w:bCs w:val="1"/>
          <w:u w:val="none"/>
          <w:rtl w:val="0"/>
        </w:rPr>
        <w:t xml:space="preserve">Arguments Supporting Defendants' Position</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38">
      <w:pPr>
        <w:numPr>
          <w:ilvl w:val="0"/>
          <w:numId w:val="5"/>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Strict RCRA Endangerment Standards</w:t>
      </w:r>
      <w:r w:rsidDel="00000000" w:rsidR="00000000" w:rsidRPr="00000000">
        <w:rPr>
          <w:rtl w:val="0"/>
        </w:rPr>
      </w:r>
    </w:p>
    <w:p w:rsidR="00000000" w:rsidDel="00000000" w:rsidP="00000000" w:rsidRDefault="00000000" w:rsidRPr="00000000" w14:paraId="00000039">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 "imminent and substantial endangerment" standard requires more than mere presence of hazardous waste and demands proof of actual threat necessitating action.</w:t>
      </w:r>
      <w:r w:rsidDel="00000000" w:rsidR="00000000" w:rsidRPr="00000000">
        <w:rPr>
          <w:rtl w:val="0"/>
        </w:rPr>
      </w:r>
    </w:p>
    <w:p w:rsidR="00000000" w:rsidDel="00000000" w:rsidP="00000000" w:rsidRDefault="00000000" w:rsidRPr="00000000" w14:paraId="0000003A">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California federal courts have dismissed RCRA claims where no pathway of exposure exists or where contaminated facilities are no longer operational.</w:t>
      </w:r>
      <w:r w:rsidDel="00000000" w:rsidR="00000000" w:rsidRPr="00000000">
        <w:rPr>
          <w:rtl w:val="0"/>
        </w:rPr>
      </w:r>
    </w:p>
    <w:p w:rsidR="00000000" w:rsidDel="00000000" w:rsidP="00000000" w:rsidRDefault="00000000" w:rsidRPr="00000000" w14:paraId="0000003B">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Ongoing CERCLA or other government remediation activities may eliminate any "imminent" threat, as recognized in cases involving active cleanup efforts.</w:t>
      </w:r>
      <w:r w:rsidDel="00000000" w:rsidR="00000000" w:rsidRPr="00000000">
        <w:rPr>
          <w:rtl w:val="0"/>
        </w:rPr>
      </w:r>
    </w:p>
    <w:p w:rsidR="00000000" w:rsidDel="00000000" w:rsidP="00000000" w:rsidRDefault="00000000" w:rsidRPr="00000000" w14:paraId="0000003C">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3D">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Plaintiffs will argue that "imminent" means threat factors are present now, not that harm must be immediately realized.</w:t>
      </w:r>
      <w:r w:rsidDel="00000000" w:rsidR="00000000" w:rsidRPr="00000000">
        <w:rPr>
          <w:rtl w:val="0"/>
        </w:rPr>
      </w:r>
    </w:p>
    <w:p w:rsidR="00000000" w:rsidDel="00000000" w:rsidP="00000000" w:rsidRDefault="00000000" w:rsidRPr="00000000" w14:paraId="0000003E">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may contend that government cleanup efforts are inadequate or delayed, maintaining the immediacy of the threat.</w:t>
      </w:r>
      <w:r w:rsidDel="00000000" w:rsidR="00000000" w:rsidRPr="00000000">
        <w:rPr>
          <w:rtl w:val="0"/>
        </w:rPr>
      </w:r>
    </w:p>
    <w:p w:rsidR="00000000" w:rsidDel="00000000" w:rsidP="00000000" w:rsidRDefault="00000000" w:rsidRPr="00000000" w14:paraId="0000003F">
      <w:pPr>
        <w:numPr>
          <w:ilvl w:val="0"/>
          <w:numId w:val="5"/>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Limited Private Rights Under Title VI</w:t>
      </w:r>
      <w:r w:rsidDel="00000000" w:rsidR="00000000" w:rsidRPr="00000000">
        <w:rPr>
          <w:rtl w:val="0"/>
        </w:rPr>
      </w:r>
    </w:p>
    <w:p w:rsidR="00000000" w:rsidDel="00000000" w:rsidP="00000000" w:rsidRDefault="00000000" w:rsidRPr="00000000" w14:paraId="00000040">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 Supreme Court's decision in </w:t>
      </w:r>
      <w:r w:rsidDel="00000000" w:rsidR="00000000" w:rsidRPr="00000000">
        <w:rPr>
          <w:rFonts w:ascii="Arial" w:cs="Arial" w:eastAsia="Arial" w:hAnsi="Arial"/>
          <w:b w:val="0"/>
          <w:bCs w:val="0"/>
          <w:i w:val="1"/>
          <w:iCs w:val="1"/>
          <w:strike w:val="0"/>
          <w:color w:val="1d1d1d"/>
          <w:u w:val="none"/>
          <w:rtl w:val="0"/>
        </w:rPr>
        <w:t xml:space="preserve">Alexander v. Sandoval</w:t>
      </w:r>
      <w:r w:rsidDel="00000000" w:rsidR="00000000" w:rsidRPr="00000000">
        <w:rPr>
          <w:rFonts w:ascii="Arial" w:cs="Arial" w:eastAsia="Arial" w:hAnsi="Arial"/>
          <w:b w:val="0"/>
          <w:bCs w:val="0"/>
          <w:i w:val="0"/>
          <w:iCs w:val="0"/>
          <w:strike w:val="0"/>
          <w:color w:val="1d1d1d"/>
          <w:u w:val="none"/>
          <w:rtl w:val="0"/>
        </w:rPr>
        <w:t xml:space="preserve"> restricts private Title VI claims to intentional discrimination, not disparate impact.</w:t>
      </w:r>
      <w:r w:rsidDel="00000000" w:rsidR="00000000" w:rsidRPr="00000000">
        <w:rPr>
          <w:rtl w:val="0"/>
        </w:rPr>
      </w:r>
    </w:p>
    <w:p w:rsidR="00000000" w:rsidDel="00000000" w:rsidP="00000000" w:rsidRDefault="00000000" w:rsidRPr="00000000" w14:paraId="00000041">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Disparate impact claims must be pursued through administrative enforcement of implementing regulations rather than private litigation.</w:t>
      </w:r>
      <w:r w:rsidDel="00000000" w:rsidR="00000000" w:rsidRPr="00000000">
        <w:rPr>
          <w:rtl w:val="0"/>
        </w:rPr>
      </w:r>
    </w:p>
    <w:p w:rsidR="00000000" w:rsidDel="00000000" w:rsidP="00000000" w:rsidRDefault="00000000" w:rsidRPr="00000000" w14:paraId="00000042">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Environmental permitting decisions typically involve legitimate regulatory considerations rather than discriminatory intent.</w:t>
      </w:r>
      <w:r w:rsidDel="00000000" w:rsidR="00000000" w:rsidRPr="00000000">
        <w:rPr>
          <w:rtl w:val="0"/>
        </w:rPr>
      </w:r>
    </w:p>
    <w:p w:rsidR="00000000" w:rsidDel="00000000" w:rsidP="00000000" w:rsidRDefault="00000000" w:rsidRPr="00000000" w14:paraId="00000043">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44">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Plaintiffs will argue they can establish intentional discrimination through circumstantial evidence of discriminatory purpose.</w:t>
      </w:r>
      <w:r w:rsidDel="00000000" w:rsidR="00000000" w:rsidRPr="00000000">
        <w:rPr>
          <w:rtl w:val="0"/>
        </w:rPr>
      </w:r>
    </w:p>
    <w:p w:rsidR="00000000" w:rsidDel="00000000" w:rsidP="00000000" w:rsidRDefault="00000000" w:rsidRPr="00000000" w14:paraId="00000045">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may contend that patterns of environmental decision-making demonstrate deliberate targeting of minority communities.</w:t>
      </w:r>
      <w:r w:rsidDel="00000000" w:rsidR="00000000" w:rsidRPr="00000000">
        <w:rPr>
          <w:rtl w:val="0"/>
        </w:rPr>
      </w:r>
    </w:p>
    <w:p w:rsidR="00000000" w:rsidDel="00000000" w:rsidP="00000000" w:rsidRDefault="00000000" w:rsidRPr="00000000" w14:paraId="00000046">
      <w:pPr>
        <w:numPr>
          <w:ilvl w:val="0"/>
          <w:numId w:val="5"/>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Procedural and Immunity Defenses</w:t>
      </w:r>
      <w:r w:rsidDel="00000000" w:rsidR="00000000" w:rsidRPr="00000000">
        <w:rPr>
          <w:rtl w:val="0"/>
        </w:rPr>
      </w:r>
    </w:p>
    <w:p w:rsidR="00000000" w:rsidDel="00000000" w:rsidP="00000000" w:rsidRDefault="00000000" w:rsidRPr="00000000" w14:paraId="00000047">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State agencies may assert Eleventh Amendment sovereign immunity from damages, though not necessarily injunctive relief.</w:t>
      </w:r>
      <w:r w:rsidDel="00000000" w:rsidR="00000000" w:rsidRPr="00000000">
        <w:rPr>
          <w:rtl w:val="0"/>
        </w:rPr>
      </w:r>
    </w:p>
    <w:p w:rsidR="00000000" w:rsidDel="00000000" w:rsidP="00000000" w:rsidRDefault="00000000" w:rsidRPr="00000000" w14:paraId="00000048">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Failure to comply with mandatory 90-day RCRA notice requirements bars citizen suit claims.</w:t>
      </w:r>
      <w:r w:rsidDel="00000000" w:rsidR="00000000" w:rsidRPr="00000000">
        <w:rPr>
          <w:rtl w:val="0"/>
        </w:rPr>
      </w:r>
    </w:p>
    <w:p w:rsidR="00000000" w:rsidDel="00000000" w:rsidP="00000000" w:rsidRDefault="00000000" w:rsidRPr="00000000" w14:paraId="00000049">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Ongoing government enforcement actions may preclude citizen suits under RCRA's anti-duplication provisions.</w:t>
      </w:r>
      <w:r w:rsidDel="00000000" w:rsidR="00000000" w:rsidRPr="00000000">
        <w:rPr>
          <w:rtl w:val="0"/>
        </w:rPr>
      </w:r>
    </w:p>
    <w:p w:rsidR="00000000" w:rsidDel="00000000" w:rsidP="00000000" w:rsidRDefault="00000000" w:rsidRPr="00000000" w14:paraId="0000004A">
      <w:pPr>
        <w:numPr>
          <w:ilvl w:val="0"/>
          <w:numId w:val="4"/>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Anticipated Rebuttals:</w:t>
      </w:r>
      <w:r w:rsidDel="00000000" w:rsidR="00000000" w:rsidRPr="00000000">
        <w:rPr>
          <w:rtl w:val="0"/>
        </w:rPr>
      </w:r>
    </w:p>
    <w:p w:rsidR="00000000" w:rsidDel="00000000" w:rsidP="00000000" w:rsidRDefault="00000000" w:rsidRPr="00000000" w14:paraId="0000004B">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Plaintiffs will argue that prospective injunctive relief remains available despite sovereign immunity for damages.</w:t>
      </w:r>
      <w:r w:rsidDel="00000000" w:rsidR="00000000" w:rsidRPr="00000000">
        <w:rPr>
          <w:rtl w:val="0"/>
        </w:rPr>
      </w:r>
    </w:p>
    <w:p w:rsidR="00000000" w:rsidDel="00000000" w:rsidP="00000000" w:rsidRDefault="00000000" w:rsidRPr="00000000" w14:paraId="0000004C">
      <w:pPr>
        <w:numPr>
          <w:ilvl w:val="1"/>
          <w:numId w:val="3"/>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They may contend that proper notice was provided or that exceptions apply for immediate threats.</w:t>
      </w:r>
      <w:r w:rsidDel="00000000" w:rsidR="00000000" w:rsidRPr="00000000">
        <w:rPr>
          <w:rtl w:val="0"/>
        </w:rPr>
      </w:r>
    </w:p>
    <w:p w:rsidR="00000000" w:rsidDel="00000000" w:rsidP="00000000" w:rsidRDefault="00000000" w:rsidRPr="00000000" w14:paraId="0000004D">
      <w:pPr>
        <w:pStyle w:val="Heading3"/>
        <w:rPr>
          <w:b w:val="0"/>
          <w:bCs w:val="0"/>
          <w:i w:val="0"/>
          <w:iCs w:val="0"/>
          <w:strike w:val="0"/>
        </w:rPr>
      </w:pPr>
      <w:r w:rsidDel="00000000" w:rsidR="00000000" w:rsidRPr="00000000">
        <w:rPr>
          <w:b w:val="1"/>
          <w:bCs w:val="1"/>
          <w:u w:val="none"/>
          <w:rtl w:val="0"/>
        </w:rPr>
        <w:t xml:space="preserve">Cases on Both Sides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The following cases were identified as relevant to your legal issue. To review more cases on both sides, see the "Cases on Both Sides" section below.</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4F">
      <w:pPr>
        <w:pStyle w:val="Heading4"/>
        <w:rPr>
          <w:b w:val="0"/>
          <w:bCs w:val="0"/>
          <w:i w:val="0"/>
          <w:iCs w:val="0"/>
          <w:strike w:val="0"/>
        </w:rPr>
      </w:pPr>
      <w:r w:rsidDel="00000000" w:rsidR="00000000" w:rsidRPr="00000000">
        <w:rPr>
          <w:b w:val="1"/>
          <w:bCs w:val="1"/>
          <w:u w:val="none"/>
          <w:rtl w:val="0"/>
        </w:rPr>
        <w:t xml:space="preserve">Cases Supporting Broad RCRA Authority</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0">
      <w:pPr>
        <w:numPr>
          <w:ilvl w:val="0"/>
          <w:numId w:val="3"/>
        </w:numPr>
        <w:ind w:left="720" w:hanging="360"/>
        <w:rPr>
          <w:b w:val="0"/>
          <w:bCs w:val="0"/>
          <w:i w:val="0"/>
          <w:iCs w:val="0"/>
          <w:strike w:val="0"/>
        </w:rPr>
      </w:pPr>
      <w:hyperlink r:id="rId33">
        <w:r w:rsidDel="00000000" w:rsidR="00000000" w:rsidRPr="00000000">
          <w:rPr>
            <w:rFonts w:ascii="Arial" w:cs="Arial" w:eastAsia="Arial" w:hAnsi="Arial"/>
            <w:b w:val="0"/>
            <w:bCs w:val="0"/>
            <w:i w:val="0"/>
            <w:iCs w:val="0"/>
            <w:strike w:val="0"/>
            <w:color w:val="467886"/>
            <w:u w:val="none"/>
            <w:rtl w:val="0"/>
          </w:rPr>
          <w:t xml:space="preserve">San Francisco Herring Association v. Pacific Gas and Electric Company, 81 F.Supp.3d 847 (2015)</w:t>
        </w:r>
      </w:hyperlink>
      <w:r w:rsidDel="00000000" w:rsidR="00000000" w:rsidRPr="00000000">
        <w:rPr>
          <w:rFonts w:ascii="Arial" w:cs="Arial" w:eastAsia="Arial" w:hAnsi="Arial"/>
          <w:b w:val="0"/>
          <w:bCs w:val="0"/>
          <w:i w:val="0"/>
          <w:iCs w:val="0"/>
          <w:strike w:val="0"/>
          <w:color w:val="1d1d1d"/>
          <w:u w:val="none"/>
          <w:rtl w:val="0"/>
        </w:rPr>
        <w:t xml:space="preserve"> — The Northern District of California upheld RCRA standing and found adequate pleadings for endangerment claims against a former gas plant operator. The court determined that both an association and individual plaintiff had Article III standing and that allegations of ongoing contamination stated valid RCRA claims not precluded by anti-duplication provisions.</w:t>
      </w:r>
      <w:r w:rsidDel="00000000" w:rsidR="00000000" w:rsidRPr="00000000">
        <w:rPr>
          <w:rtl w:val="0"/>
        </w:rPr>
      </w:r>
    </w:p>
    <w:p w:rsidR="00000000" w:rsidDel="00000000" w:rsidP="00000000" w:rsidRDefault="00000000" w:rsidRPr="00000000" w14:paraId="00000051">
      <w:pPr>
        <w:numPr>
          <w:ilvl w:val="0"/>
          <w:numId w:val="3"/>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 </w:t>
      </w:r>
      <w:hyperlink r:id="rId34">
        <w:r w:rsidDel="00000000" w:rsidR="00000000" w:rsidRPr="00000000">
          <w:rPr>
            <w:rFonts w:ascii="Arial" w:cs="Arial" w:eastAsia="Arial" w:hAnsi="Arial"/>
            <w:b w:val="0"/>
            <w:bCs w:val="0"/>
            <w:i w:val="0"/>
            <w:iCs w:val="0"/>
            <w:strike w:val="0"/>
            <w:color w:val="467886"/>
            <w:u w:val="none"/>
            <w:rtl w:val="0"/>
          </w:rPr>
          <w:t xml:space="preserve">Northern California River Watch v. Honeywell Aerospace, 830 F.Supp.2d 760 (2011)</w:t>
        </w:r>
      </w:hyperlink>
      <w:r w:rsidDel="00000000" w:rsidR="00000000" w:rsidRPr="00000000">
        <w:rPr>
          <w:rFonts w:ascii="Arial" w:cs="Arial" w:eastAsia="Arial" w:hAnsi="Arial"/>
          <w:b w:val="0"/>
          <w:bCs w:val="0"/>
          <w:i w:val="0"/>
          <w:iCs w:val="0"/>
          <w:strike w:val="0"/>
          <w:color w:val="1d1d1d"/>
          <w:u w:val="none"/>
          <w:rtl w:val="0"/>
        </w:rPr>
        <w:t xml:space="preserve"> — The Northern District of California allowed RCRA claims to proceed against site operators for imminent endangerment and open dumping. The court found that plaintiffs sufficiently alleged responsibility for pollutants creating public danger and that notice letters satisfied RCRA and Clean Water Act requirements.</w:t>
      </w:r>
      <w:r w:rsidDel="00000000" w:rsidR="00000000" w:rsidRPr="00000000">
        <w:rPr>
          <w:rtl w:val="0"/>
        </w:rPr>
      </w:r>
    </w:p>
    <w:p w:rsidR="00000000" w:rsidDel="00000000" w:rsidP="00000000" w:rsidRDefault="00000000" w:rsidRPr="00000000" w14:paraId="00000052">
      <w:pPr>
        <w:pStyle w:val="Heading4"/>
        <w:rPr>
          <w:b w:val="0"/>
          <w:bCs w:val="0"/>
          <w:i w:val="0"/>
          <w:iCs w:val="0"/>
          <w:strike w:val="0"/>
        </w:rPr>
      </w:pPr>
      <w:r w:rsidDel="00000000" w:rsidR="00000000" w:rsidRPr="00000000">
        <w:rPr>
          <w:b w:val="1"/>
          <w:bCs w:val="1"/>
          <w:u w:val="none"/>
          <w:rtl w:val="0"/>
        </w:rPr>
        <w:t xml:space="preserve">Cases Limiting RCRA Authority</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3">
      <w:pPr>
        <w:numPr>
          <w:ilvl w:val="0"/>
          <w:numId w:val="3"/>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 </w:t>
      </w:r>
      <w:hyperlink r:id="rId35">
        <w:r w:rsidDel="00000000" w:rsidR="00000000" w:rsidRPr="00000000">
          <w:rPr>
            <w:rFonts w:ascii="Arial" w:cs="Arial" w:eastAsia="Arial" w:hAnsi="Arial"/>
            <w:b w:val="0"/>
            <w:bCs w:val="0"/>
            <w:i w:val="0"/>
            <w:iCs w:val="0"/>
            <w:strike w:val="0"/>
            <w:color w:val="467886"/>
            <w:u w:val="none"/>
            <w:rtl w:val="0"/>
          </w:rPr>
          <w:t xml:space="preserve">City of Fresno v. U.S., 709 F.Supp.2d 888 (2010)</w:t>
        </w:r>
      </w:hyperlink>
      <w:r w:rsidDel="00000000" w:rsidR="00000000" w:rsidRPr="00000000">
        <w:rPr>
          <w:rFonts w:ascii="Arial" w:cs="Arial" w:eastAsia="Arial" w:hAnsi="Arial"/>
          <w:b w:val="0"/>
          <w:bCs w:val="0"/>
          <w:i w:val="0"/>
          <w:iCs w:val="0"/>
          <w:strike w:val="0"/>
          <w:color w:val="1d1d1d"/>
          <w:u w:val="none"/>
          <w:rtl w:val="0"/>
        </w:rPr>
        <w:t xml:space="preserve"> — The Eastern District of California dismissed RCRA claims for lack of subject matter jurisdiction under CERCLA § 113(h). The court noted in dicta that where there is no pathway of exposure, no imminent endangerment exists, citing the principle that endangerment must be substantial or serious with some necessity for action.</w:t>
      </w:r>
      <w:r w:rsidDel="00000000" w:rsidR="00000000" w:rsidRPr="00000000">
        <w:rPr>
          <w:rtl w:val="0"/>
        </w:rPr>
      </w:r>
    </w:p>
    <w:p w:rsidR="00000000" w:rsidDel="00000000" w:rsidP="00000000" w:rsidRDefault="00000000" w:rsidRPr="00000000" w14:paraId="00000054">
      <w:pPr>
        <w:numPr>
          <w:ilvl w:val="0"/>
          <w:numId w:val="3"/>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u w:val="none"/>
          <w:rtl w:val="0"/>
        </w:rPr>
        <w:t xml:space="preserve"> </w:t>
      </w:r>
      <w:hyperlink r:id="rId36">
        <w:r w:rsidDel="00000000" w:rsidR="00000000" w:rsidRPr="00000000">
          <w:rPr>
            <w:rFonts w:ascii="Arial" w:cs="Arial" w:eastAsia="Arial" w:hAnsi="Arial"/>
            <w:b w:val="0"/>
            <w:bCs w:val="0"/>
            <w:i w:val="0"/>
            <w:iCs w:val="0"/>
            <w:strike w:val="0"/>
            <w:color w:val="467886"/>
            <w:u w:val="none"/>
            <w:rtl w:val="0"/>
          </w:rPr>
          <w:t xml:space="preserve">Price v. U.S. Navy, 818 F.Supp. 1323 (1992)</w:t>
        </w:r>
      </w:hyperlink>
      <w:r w:rsidDel="00000000" w:rsidR="00000000" w:rsidRPr="00000000">
        <w:rPr>
          <w:rFonts w:ascii="Arial" w:cs="Arial" w:eastAsia="Arial" w:hAnsi="Arial"/>
          <w:b w:val="0"/>
          <w:bCs w:val="0"/>
          <w:i w:val="0"/>
          <w:iCs w:val="0"/>
          <w:strike w:val="0"/>
          <w:color w:val="1d1d1d"/>
          <w:u w:val="none"/>
          <w:rtl w:val="0"/>
        </w:rPr>
        <w:t xml:space="preserve"> — The Southern District of California dismissed RCRA claims for lack of imminent substantial endangerment and necessity for action. The court found no "imminent and substantial endangerment" present at a residence and emphasized that endangerment must be "substantial or serious" with "some necessity for the action."</w:t>
      </w:r>
      <w:r w:rsidDel="00000000" w:rsidR="00000000" w:rsidRPr="00000000">
        <w:rPr>
          <w:rtl w:val="0"/>
        </w:rPr>
      </w:r>
    </w:p>
    <w:p w:rsidR="00000000" w:rsidDel="00000000" w:rsidP="00000000" w:rsidRDefault="00000000" w:rsidRPr="00000000" w14:paraId="00000055">
      <w:pPr>
        <w:pStyle w:val="Heading4"/>
        <w:rPr>
          <w:b w:val="0"/>
          <w:bCs w:val="0"/>
          <w:i w:val="0"/>
          <w:iCs w:val="0"/>
          <w:strike w:val="0"/>
        </w:rPr>
      </w:pPr>
      <w:r w:rsidDel="00000000" w:rsidR="00000000" w:rsidRPr="00000000">
        <w:rPr>
          <w:b w:val="1"/>
          <w:bCs w:val="1"/>
          <w:u w:val="none"/>
          <w:rtl w:val="0"/>
        </w:rPr>
        <w:t xml:space="preserve">Cases Supporting Title VI Environmental Claims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6">
      <w:pPr>
        <w:numPr>
          <w:ilvl w:val="0"/>
          <w:numId w:val="3"/>
        </w:numPr>
        <w:ind w:left="720" w:hanging="360"/>
        <w:rPr>
          <w:b w:val="0"/>
          <w:bCs w:val="0"/>
          <w:i w:val="0"/>
          <w:iCs w:val="0"/>
          <w:strike w:val="0"/>
        </w:rPr>
      </w:pPr>
      <w:hyperlink r:id="rId37">
        <w:r w:rsidDel="00000000" w:rsidR="00000000" w:rsidRPr="00000000">
          <w:rPr>
            <w:rFonts w:ascii="Arial" w:cs="Arial" w:eastAsia="Arial" w:hAnsi="Arial"/>
            <w:b w:val="0"/>
            <w:bCs w:val="0"/>
            <w:i w:val="0"/>
            <w:iCs w:val="0"/>
            <w:strike w:val="0"/>
            <w:color w:val="467886"/>
            <w:u w:val="none"/>
            <w:rtl w:val="0"/>
          </w:rPr>
          <w:t xml:space="preserve">Association of Mexican-American Educators v. State of Cal., 937 F.Supp. 1397 (1996)</w:t>
        </w:r>
      </w:hyperlink>
      <w:r w:rsidDel="00000000" w:rsidR="00000000" w:rsidRPr="00000000">
        <w:rPr>
          <w:rFonts w:ascii="Arial" w:cs="Arial" w:eastAsia="Arial" w:hAnsi="Arial"/>
          <w:b w:val="0"/>
          <w:bCs w:val="0"/>
          <w:i w:val="0"/>
          <w:iCs w:val="0"/>
          <w:strike w:val="0"/>
          <w:color w:val="1d1d1d"/>
          <w:u w:val="none"/>
          <w:rtl w:val="0"/>
        </w:rPr>
        <w:t xml:space="preserve"> — The Northern District of California applied disparate impact analysis under Title VI implementing regulations. The court explained that Title VI disparate impact claims are available through agency regulations and established that defendants need only show "substantial legitimate justification" for challenged practices.</w:t>
      </w:r>
      <w:r w:rsidDel="00000000" w:rsidR="00000000" w:rsidRPr="00000000">
        <w:rPr>
          <w:rtl w:val="0"/>
        </w:rPr>
      </w:r>
    </w:p>
    <w:p w:rsidR="00000000" w:rsidDel="00000000" w:rsidP="00000000" w:rsidRDefault="00000000" w:rsidRPr="00000000" w14:paraId="00000057">
      <w:pPr>
        <w:pStyle w:val="Heading4"/>
        <w:rPr>
          <w:b w:val="0"/>
          <w:bCs w:val="0"/>
          <w:i w:val="0"/>
          <w:iCs w:val="0"/>
          <w:strike w:val="0"/>
        </w:rPr>
      </w:pPr>
      <w:r w:rsidDel="00000000" w:rsidR="00000000" w:rsidRPr="00000000">
        <w:rPr>
          <w:b w:val="1"/>
          <w:bCs w:val="1"/>
          <w:u w:val="none"/>
          <w:rtl w:val="0"/>
        </w:rPr>
        <w:t xml:space="preserve">Cases Limiting Title VI Claims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8">
      <w:pPr>
        <w:numPr>
          <w:ilvl w:val="0"/>
          <w:numId w:val="3"/>
        </w:numPr>
        <w:ind w:left="720" w:hanging="360"/>
        <w:rPr>
          <w:b w:val="0"/>
          <w:bCs w:val="0"/>
          <w:i w:val="0"/>
          <w:iCs w:val="0"/>
          <w:strike w:val="0"/>
        </w:rPr>
      </w:pPr>
      <w:hyperlink r:id="rId38">
        <w:r w:rsidDel="00000000" w:rsidR="00000000" w:rsidRPr="00000000">
          <w:rPr>
            <w:rFonts w:ascii="Arial" w:cs="Arial" w:eastAsia="Arial" w:hAnsi="Arial"/>
            <w:b w:val="0"/>
            <w:bCs w:val="0"/>
            <w:i w:val="0"/>
            <w:iCs w:val="0"/>
            <w:strike w:val="0"/>
            <w:color w:val="467886"/>
            <w:u w:val="none"/>
            <w:rtl w:val="0"/>
          </w:rPr>
          <w:t xml:space="preserve">Hardie v. National Collegiate Athletic Ass'n., 97 F.Supp.3d 1163 (2015)</w:t>
        </w:r>
      </w:hyperlink>
      <w:r w:rsidDel="00000000" w:rsidR="00000000" w:rsidRPr="00000000">
        <w:rPr>
          <w:rFonts w:ascii="Arial" w:cs="Arial" w:eastAsia="Arial" w:hAnsi="Arial"/>
          <w:b w:val="0"/>
          <w:bCs w:val="0"/>
          <w:i w:val="0"/>
          <w:iCs w:val="0"/>
          <w:strike w:val="0"/>
          <w:color w:val="1d1d1d"/>
          <w:u w:val="none"/>
          <w:rtl w:val="0"/>
        </w:rPr>
        <w:t xml:space="preserve"> — The Southern District of California held that disparate impact claims are not cognizable under Title VI statute itself. The court found that Title VI, like Title II, contains similar "on the ground of" language and that the Supreme Court has definitively held Title VI does not provide private cause of action for disparate impact discrimination.</w:t>
      </w:r>
      <w:r w:rsidDel="00000000" w:rsidR="00000000" w:rsidRPr="00000000">
        <w:rPr>
          <w:rtl w:val="0"/>
        </w:rPr>
      </w:r>
    </w:p>
    <w:p w:rsidR="00000000" w:rsidDel="00000000" w:rsidP="00000000" w:rsidRDefault="00000000" w:rsidRPr="00000000" w14:paraId="00000059">
      <w:pPr>
        <w:numPr>
          <w:ilvl w:val="0"/>
          <w:numId w:val="3"/>
        </w:numPr>
        <w:ind w:left="720" w:hanging="360"/>
        <w:rPr>
          <w:b w:val="0"/>
          <w:bCs w:val="0"/>
          <w:i w:val="0"/>
          <w:iCs w:val="0"/>
          <w:strike w:val="0"/>
        </w:rPr>
      </w:pPr>
      <w:hyperlink r:id="rId39">
        <w:r w:rsidDel="00000000" w:rsidR="00000000" w:rsidRPr="00000000">
          <w:rPr>
            <w:rFonts w:ascii="Arial" w:cs="Arial" w:eastAsia="Arial" w:hAnsi="Arial"/>
            <w:b w:val="0"/>
            <w:bCs w:val="0"/>
            <w:i w:val="0"/>
            <w:iCs w:val="0"/>
            <w:strike w:val="0"/>
            <w:color w:val="467886"/>
            <w:u w:val="none"/>
            <w:rtl w:val="0"/>
          </w:rPr>
          <w:t xml:space="preserve">Clarke v. Upton, 703 F.Supp.2d 1037 (2010)</w:t>
        </w:r>
      </w:hyperlink>
      <w:r w:rsidDel="00000000" w:rsidR="00000000" w:rsidRPr="00000000">
        <w:rPr>
          <w:rFonts w:ascii="Arial" w:cs="Arial" w:eastAsia="Arial" w:hAnsi="Arial"/>
          <w:b w:val="0"/>
          <w:bCs w:val="0"/>
          <w:i w:val="0"/>
          <w:iCs w:val="0"/>
          <w:strike w:val="0"/>
          <w:color w:val="1d1d1d"/>
          <w:u w:val="none"/>
          <w:rtl w:val="0"/>
        </w:rPr>
        <w:t xml:space="preserve"> — The Eastern District of California dismissed Title VI claims for failure to establish federal funding nexus. The court held that plaintiff "failed to allege that either county or its department of social services was receiving federal financial assistance or that plaintiff was intended beneficiary of federally-funded program," precluding the civil rights claim.</w:t>
      </w:r>
      <w:r w:rsidDel="00000000" w:rsidR="00000000" w:rsidRPr="00000000">
        <w:rPr>
          <w:rtl w:val="0"/>
        </w:rPr>
      </w:r>
    </w:p>
    <w:p w:rsidR="00000000" w:rsidDel="00000000" w:rsidP="00000000" w:rsidRDefault="00000000" w:rsidRPr="00000000" w14:paraId="0000005A">
      <w:pPr>
        <w:pStyle w:val="Heading3"/>
        <w:rPr>
          <w:b w:val="0"/>
          <w:bCs w:val="0"/>
          <w:i w:val="0"/>
          <w:iCs w:val="0"/>
          <w:strike w:val="0"/>
        </w:rPr>
      </w:pPr>
      <w:r w:rsidDel="00000000" w:rsidR="00000000" w:rsidRPr="00000000">
        <w:rPr>
          <w:b w:val="1"/>
          <w:bCs w:val="1"/>
          <w:u w:val="none"/>
          <w:rtl w:val="0"/>
        </w:rPr>
        <w:t xml:space="preserve">Practical Implications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legal claims in this RCRA/Title VI complaint represent a novel approach to challenging environmental harms by combining traditional environmental enforcement with civil rights protections. If successful, this strategy could establish important precedent for using Title VI to challenge discriminatory siting and operation of waste facilities that disproportionately impact minority communities. The combination creates multiple enforcement avenues and potentially broader remedial authority than either statute alone could provide.</w:t>
        <w:br w:type="textWrapp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For municipal defendants, cities and counties receiving federal funding become subject to both environmental compliance obligations and civil rights non-discrimination requirements. Local governments must consider not only environmental impacts but also potential discriminatory effects on protected communities when making land use and permitting decisions. This dual framework requires enhanced analysis of how environmental decisions affect different racial and ethnic communities.</w:t>
        <w:br w:type="textWrapp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Private entities operating waste facilities near protected communities face heightened scrutiny and potential liability under both environmental and civil rights theories. The combination of RCRA and Title VI claims creates multiple avenues for enforcement and potentially broader remedial orders that could include both facility-specific corrective action and policy changes to prevent future discrimination. This approach may provide more comprehensive relief than traditional environmental enforcement alone, addressing both immediate environmental threats and underlying discriminatory practices that created the environmental justice concerns.</w:t>
        <w:br w:type="textWrapping"/>
      </w:r>
    </w:p>
    <w:p w:rsidR="00000000" w:rsidDel="00000000" w:rsidP="00000000" w:rsidRDefault="00000000" w:rsidRPr="00000000" w14:paraId="0000005E">
      <w:pPr>
        <w:pStyle w:val="Heading3"/>
        <w:rPr>
          <w:b w:val="0"/>
          <w:bCs w:val="0"/>
          <w:i w:val="0"/>
          <w:iCs w:val="0"/>
          <w:strike w:val="0"/>
        </w:rPr>
      </w:pPr>
      <w:r w:rsidDel="00000000" w:rsidR="00000000" w:rsidRPr="00000000">
        <w:rPr>
          <w:b w:val="1"/>
          <w:bCs w:val="1"/>
          <w:u w:val="none"/>
          <w:rtl w:val="0"/>
        </w:rPr>
        <w:t xml:space="preserve">Recent Developments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Executive Order 13899, issued in 2019, clarified that discrimination against Jewish individuals may give rise to Title VI violations when based on race, color, or national origin, expanding the scope of protected conduct under civil rights enforcement in federally funded programs. This development broadens the potential application of Title VI beyond traditional racial and ethnic categories.</w:t>
        <w:br w:type="textWrapp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Supreme Court's decision in </w:t>
      </w:r>
      <w:r w:rsidDel="00000000" w:rsidR="00000000" w:rsidRPr="00000000">
        <w:rPr>
          <w:rFonts w:ascii="Arial" w:cs="Arial" w:eastAsia="Arial" w:hAnsi="Arial"/>
          <w:b w:val="0"/>
          <w:bCs w:val="0"/>
          <w:i w:val="1"/>
          <w:iCs w:val="1"/>
          <w:smallCaps w:val="0"/>
          <w:strike w:val="0"/>
          <w:color w:val="1d1d1d"/>
          <w:sz w:val="24"/>
          <w:szCs w:val="24"/>
          <w:u w:val="none"/>
          <w:shd w:fill="auto" w:val="clear"/>
          <w:vertAlign w:val="baseline"/>
          <w:rtl w:val="0"/>
        </w:rPr>
        <w:t xml:space="preserve">Alexander v. Sandoval</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continues to limit private disparate impact claims under Title VI to the statute itself, requiring proof of intentional discrimination, while allowing disparate impact claims only through administrative enforcement of implementing regulations. This framework creates a bifurcated enforcement system where private litigants must prove deliberate discrimination while administrative agencies can address broader patterns of disparate impact.</w:t>
        <w:br w:type="textWrapp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Recent California federal district court decisions demonstrate continued willingness to allow RCRA citizen suits where plaintiffs can adequately allege the three-part test for imminent endangerment established by the Ninth Circuit. However, courts continue to apply strict scrutiny to whether "imminent" endangerment truly exists, particularly where ongoing government remediation may reduce immediate threats. The ongoing interaction between CERCLA cleanup activities and RCRA citizen suit authority remains an evolving area of environmental law.</w:t>
        <w:br w:type="textWrapping"/>
      </w:r>
    </w:p>
    <w:p w:rsidR="00000000" w:rsidDel="00000000" w:rsidP="00000000" w:rsidRDefault="00000000" w:rsidRPr="00000000" w14:paraId="00000062">
      <w:pPr>
        <w:pStyle w:val="Heading3"/>
        <w:rPr>
          <w:b w:val="0"/>
          <w:bCs w:val="0"/>
          <w:i w:val="0"/>
          <w:iCs w:val="0"/>
          <w:strike w:val="0"/>
        </w:rPr>
      </w:pPr>
      <w:r w:rsidDel="00000000" w:rsidR="00000000" w:rsidRPr="00000000">
        <w:rPr>
          <w:b w:val="1"/>
          <w:bCs w:val="1"/>
          <w:u w:val="none"/>
          <w:rtl w:val="0"/>
        </w:rPr>
        <w:t xml:space="preserve">Related Issues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63">
      <w:pPr>
        <w:numPr>
          <w:ilvl w:val="0"/>
          <w:numId w:val="3"/>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CERCLA cost recovery and contribution claims</w:t>
      </w:r>
      <w:r w:rsidDel="00000000" w:rsidR="00000000" w:rsidRPr="00000000">
        <w:rPr>
          <w:rFonts w:ascii="Arial" w:cs="Arial" w:eastAsia="Arial" w:hAnsi="Arial"/>
          <w:b w:val="0"/>
          <w:bCs w:val="0"/>
          <w:i w:val="0"/>
          <w:iCs w:val="0"/>
          <w:strike w:val="0"/>
          <w:color w:val="1d1d1d"/>
          <w:u w:val="none"/>
          <w:rtl w:val="0"/>
        </w:rPr>
        <w:t xml:space="preserve"> are frequently pursued parallel to RCRA citizen suits, particularly against potentially responsible parties for contamination cleanup costs and natural resource damages.</w:t>
      </w:r>
      <w:r w:rsidDel="00000000" w:rsidR="00000000" w:rsidRPr="00000000">
        <w:rPr>
          <w:rtl w:val="0"/>
        </w:rPr>
      </w:r>
    </w:p>
    <w:p w:rsidR="00000000" w:rsidDel="00000000" w:rsidP="00000000" w:rsidRDefault="00000000" w:rsidRPr="00000000" w14:paraId="00000064">
      <w:pPr>
        <w:numPr>
          <w:ilvl w:val="0"/>
          <w:numId w:val="3"/>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Section 1983 civil rights claims</w:t>
      </w:r>
      <w:r w:rsidDel="00000000" w:rsidR="00000000" w:rsidRPr="00000000">
        <w:rPr>
          <w:rFonts w:ascii="Arial" w:cs="Arial" w:eastAsia="Arial" w:hAnsi="Arial"/>
          <w:b w:val="0"/>
          <w:bCs w:val="0"/>
          <w:i w:val="0"/>
          <w:iCs w:val="0"/>
          <w:strike w:val="0"/>
          <w:color w:val="1d1d1d"/>
          <w:u w:val="none"/>
          <w:rtl w:val="0"/>
        </w:rPr>
        <w:t xml:space="preserve"> under 42 U.S.C. §1983 are commonly asserted alongside Title VI claims against government entities for constitutional violations, particularly Equal Protection and Due Process claims in environmental justice contexts.</w:t>
      </w:r>
      <w:r w:rsidDel="00000000" w:rsidR="00000000" w:rsidRPr="00000000">
        <w:rPr>
          <w:rtl w:val="0"/>
        </w:rPr>
      </w:r>
    </w:p>
    <w:p w:rsidR="00000000" w:rsidDel="00000000" w:rsidP="00000000" w:rsidRDefault="00000000" w:rsidRPr="00000000" w14:paraId="00000065">
      <w:pPr>
        <w:numPr>
          <w:ilvl w:val="0"/>
          <w:numId w:val="3"/>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National Environmental Policy Act (NEPA) claims</w:t>
      </w:r>
      <w:r w:rsidDel="00000000" w:rsidR="00000000" w:rsidRPr="00000000">
        <w:rPr>
          <w:rFonts w:ascii="Arial" w:cs="Arial" w:eastAsia="Arial" w:hAnsi="Arial"/>
          <w:b w:val="0"/>
          <w:bCs w:val="0"/>
          <w:i w:val="0"/>
          <w:iCs w:val="0"/>
          <w:strike w:val="0"/>
          <w:color w:val="1d1d1d"/>
          <w:u w:val="none"/>
          <w:rtl w:val="0"/>
        </w:rPr>
        <w:t xml:space="preserve"> often accompany environmental justice challenges for failure to consider environmental impacts on minority communities in federal decision-making processes.</w:t>
      </w:r>
      <w:r w:rsidDel="00000000" w:rsidR="00000000" w:rsidRPr="00000000">
        <w:rPr>
          <w:rtl w:val="0"/>
        </w:rPr>
      </w:r>
    </w:p>
    <w:p w:rsidR="00000000" w:rsidDel="00000000" w:rsidP="00000000" w:rsidRDefault="00000000" w:rsidRPr="00000000" w14:paraId="00000066">
      <w:pPr>
        <w:numPr>
          <w:ilvl w:val="0"/>
          <w:numId w:val="3"/>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u w:val="none"/>
          <w:rtl w:val="0"/>
        </w:rPr>
        <w:t xml:space="preserve">State environmental justice statutes</w:t>
      </w:r>
      <w:r w:rsidDel="00000000" w:rsidR="00000000" w:rsidRPr="00000000">
        <w:rPr>
          <w:rFonts w:ascii="Arial" w:cs="Arial" w:eastAsia="Arial" w:hAnsi="Arial"/>
          <w:b w:val="0"/>
          <w:bCs w:val="0"/>
          <w:i w:val="0"/>
          <w:iCs w:val="0"/>
          <w:strike w:val="0"/>
          <w:color w:val="1d1d1d"/>
          <w:u w:val="none"/>
          <w:rtl w:val="0"/>
        </w:rPr>
        <w:t xml:space="preserve"> in California and other jurisdictions are frequently litigated alongside federal civil rights and environmental claims, providing additional theories of liability and enforcement mechanisms.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3"/>
        <w:rPr>
          <w:b w:val="0"/>
          <w:bCs w:val="0"/>
          <w:i w:val="0"/>
          <w:iCs w:val="0"/>
          <w:strike w:val="0"/>
        </w:rPr>
      </w:pPr>
      <w:r w:rsidDel="00000000" w:rsidR="00000000" w:rsidRPr="00000000">
        <w:rPr>
          <w:b w:val="1"/>
          <w:bCs w:val="1"/>
          <w:u w:val="none"/>
          <w:rtl w:val="0"/>
        </w:rPr>
        <w:t xml:space="preserve">Administrative Decisions and Guidance</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These materials consist of multiple Consent Agreements and Final Orders issued by the U.S. Environmental Protection Agency (EPA) under Sections 3008(a) and (g) of the Resource Conservation and Recovery Act (RCRA), 42 U.S.C. §§ 6928(a) and (g), as well as Sections 113 and 118(a) of the Clean Air Act (CAA), 42 U.S.C. §§ 7413 and 7418(a). The agreements resolve claims related to alleged violations of RCRA Subtitle C (hazardous waste management) and Subtitle I (underground storage tank regulations), focusing on civil penalties for violations by various federal entities. The EPA bases penalties on statutory factors in RCRA and CAA, including the severity of violations, compliance history, economic impact, and duration of violations. These agreements explicitly reserve EPA’s right to enforce remedies for imminent and substantial endangerment to health or the environment beyond monetary penalties. The EPA’s civil penalty policies and administrative procedures under 40 C.F.R. Part 22 also govern these settlements, ensuring formal binding upon filing with the Regional Hearing Clerk.</w:t>
      </w:r>
      <w:hyperlink r:id="rId40">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2018 WL 9960263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1">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2016 WL 11649587</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2">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2020 WL 1165060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3">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2018 WL 9960217</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agreements clarify that compliance with penalty payments does not shield respondents from future enforcement for other violations or ongoing conditions posing imminent hazards. EPA’s civil penalty calculations incorporate its RCRA Civil Penalty Policy (2003), the Clean Air Act Stationary Source Civil Penalty Policy (1991), inflation adjustments under 40 C.F.R. Part 19, and memoranda such as the Giles Memorandum affecting penalty amounts. Notifications to relevant state authorities are also documented within the administrative process. These documents reflect the scope of federal administrative enforcement under RCRA and CAA within EPA’s jurisdiction, illustrating procedural and substantive frameworks relevant to federal enforcement actions in environmental civil litigation.</w:t>
      </w:r>
      <w:hyperlink r:id="rId44">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2018 WL 9960263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5">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2016 WL 11649188</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6">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2020 WL 1165060</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7">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E.P.A. 2018 WL 9960217</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6B">
      <w:pPr>
        <w:pStyle w:val="Heading3"/>
        <w:rPr>
          <w:b w:val="0"/>
          <w:bCs w:val="0"/>
          <w:i w:val="0"/>
          <w:iCs w:val="0"/>
          <w:strike w:val="0"/>
        </w:rPr>
      </w:pPr>
      <w:r w:rsidDel="00000000" w:rsidR="00000000" w:rsidRPr="00000000">
        <w:rPr>
          <w:b w:val="1"/>
          <w:bCs w:val="1"/>
          <w:u w:val="none"/>
          <w:rtl w:val="0"/>
        </w:rPr>
        <w:t xml:space="preserve">Commentary on This Question</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The Resource Conservation and Recovery Act (RCRA), 42 U.S.C. § 6972(a)(1)(B), authorizes private citizens to bring suit against any person who has contributed or is contributing to the past or present handling, storage, treatment, transportation, or disposal of any solid or hazardous waste that may present an imminent and substantial endangerment to health or the environment. To state a claim, plaintiffs must allege and ultimately prove: (1) that the defendant is a person engaged in activities involving solid or hazardous waste, (2) contribution to such activities, and (3) that these activities may cause imminent and substantial endangerment. The statute requires notice to EPA, the state, and alleged violators 90 days before filing suit, allowing for governmental enforcement or voluntary correction. Courts broadly interpret “imminent” to include near-term threats even if harm manifests later, and “substantial” to mean serious risk rather than actual damage. Citizen suits may be maintained based on threatened or potential harm without concrete proof of actual injury, provided the endangerment is ongoing or continuing. Past violations alone do not support suit unless the violation itself persists. Courts recognize standing for those with economic or legal interest in affected property and do not require a currently living population but must show a population at risk. Injunctive relief aims to abate environmental dangers, sometimes ordering investigation, monitoring, or remediation </w:t>
      </w:r>
      <w:hyperlink r:id="rId48">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40 AMJUR POF 3d 457</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49">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158 A.L.R. Fed. 519</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50">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30 COA 675</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51">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152 AMJUR POF 3d 281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w:t>
        <w:br w:type="textWrapping"/>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Under Title VI of the Civil Rights Act, claims for discriminatory practices regarding environmental issues require proof of intentional discrimination, not mere disparate impact. Following the Supreme Court decision in Alexander v. Sandoval, no private right of action exists to enforce disparate impact regulations under Title VI. Plaintiffs must show discriminatory intent to prevail and may seek compensatory and injunctive relief, but punitive damages are prohibited. Declaratory relief requires a likelihood of future harm, not solely past injury. Factors indicating discriminatory intent include historical context, procedural irregularities, and foreseeability of harmful consequences </w:t>
      </w:r>
      <w:hyperlink r:id="rId52">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72 COA2d 313</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w:t>
        <w:br w:type="textWrapp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CERCLA (Superfund) liabilities may overlap with RCRA, particularly where hazardous waste contamination requires cleanup. CERCLA imposes joint and several liability on generators and arrangers of hazardous waste and allows EPA to require response actions to address releases presenting imminent and substantial endangerment. Although CERCLA is primarily a governmental enforcement tool, private parties may seek cost recovery for cleanup but lack injunctive relief rights against other private parties </w:t>
      </w:r>
      <w:hyperlink r:id="rId53">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68 AMJUR TRIALS 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54">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25 COA 141</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w:t>
        <w:br w:type="textWrapping"/>
      </w:r>
    </w:p>
    <w:p w:rsidR="00000000" w:rsidDel="00000000" w:rsidP="00000000" w:rsidRDefault="00000000" w:rsidRPr="00000000" w14:paraId="0000006F">
      <w:pPr>
        <w:pStyle w:val="Heading3"/>
        <w:rPr>
          <w:b w:val="0"/>
          <w:bCs w:val="0"/>
          <w:i w:val="0"/>
          <w:iCs w:val="0"/>
          <w:strike w:val="0"/>
        </w:rPr>
      </w:pPr>
      <w:r w:rsidDel="00000000" w:rsidR="00000000" w:rsidRPr="00000000">
        <w:rPr>
          <w:b w:val="1"/>
          <w:bCs w:val="1"/>
          <w:u w:val="none"/>
          <w:rtl w:val="0"/>
        </w:rPr>
        <w:t xml:space="preserve">Current Awareness</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JD Supra covers Raritan Baykeeper, Inc. v. NL Industries, Inc., No. CV 09-4117 (MAS) (JTQ), 2024 WL 3162933 (D.N.J. June 25, 2024), which addresses the elements of a RCRA § 6972(a)(1)(B) imminent and substantial endangerment claim and the availability of injunctive relief at a site under state environmental agency supervision. The decision reinforces that a plaintiff must show the defendant contributed to the handling, storage, treatment, transportation, or disposal of solid or hazardous waste and that the waste may present an imminent and substantial endangerment to health or the environment (42 U.S.C. § 6972(a)(1)(B)). </w:t>
      </w:r>
      <w:hyperlink r:id="rId55">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'Citizen Suit Action/RCRA: Federal Court Addresses...', by Walter Wright Jr., Mitchell, Williams, Selig, Gates &amp; Woodyard, P.L.L.C., Published By JD Supra</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JD Supra addresses a federal case involving Tennessee Riverkeeper, clarifying citizen suit prerequisites under the Clean Water Act and RCRA, including the notice requirement, lack of government enforcement, and the need to allege ongoing or intermittent violations rather than a wholly past violation; the court granted a motion to dismiss for lack of subject matter jurisdiction where only one tested discharge supported the allegations and the notice did not encompass the asserted permit violation (33 U.S.C. § 1365; 42 U.S.C. § 6972). </w:t>
      </w:r>
      <w:hyperlink r:id="rId56">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'Citizen Suit Action/Clean Water Act/RCRA: Federal...', by Walter Wright Jr., Mitchell, Williams, Selig, Gates &amp; Woodyard, P.L.L.C., Published By JD Supra</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JD Supra also reports a federal decision involving over-the-counter acne products, illustrating definitional and pleading limits on RCRA claims by holding that benzene formed during product use did not plausibly qualify as solid or hazardous waste and that post-sale disposal did not sufficiently connect the manufacturer to handling or disposal for generator liability, resulting in dismissal. </w:t>
      </w:r>
      <w:hyperlink r:id="rId57">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'Solid Waste/RCRA: Federal Court Addresses Status...', by Walter Wright Jr., Mitchell, Williams, Selig, Gates &amp; Woodyard, P.L.L.C., Published By JD Supra</w:t>
        </w:r>
      </w:hyperlink>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626262"/>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626262"/>
          <w:sz w:val="24"/>
          <w:szCs w:val="24"/>
          <w:u w:val="none"/>
          <w:shd w:fill="auto" w:val="clear"/>
          <w:vertAlign w:val="baseline"/>
          <w:rtl w:val="0"/>
        </w:rPr>
        <w:t xml:space="preserve">Generated by AI. Not legal advice. A qualified professional must verify accuracy and legal compliance.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spacing w:after="113" w:before="113" w:lineRule="auto"/>
        <w:rPr>
          <w:b w:val="1"/>
          <w:b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5905500" cy="19050"/>
                <wp:effectExtent b="0" l="0" r="0" t="0"/>
                <wp:wrapNone/>
                <wp:docPr id="2" name=""/>
                <a:graphic>
                  <a:graphicData uri="http://schemas.microsoft.com/office/word/2010/wordprocessingShape">
                    <wps:wsp>
                      <wps:cNvCnPr/>
                      <wps:spPr>
                        <a:xfrm>
                          <a:off x="2393250" y="3780000"/>
                          <a:ext cx="590550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5905500" cy="190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05500" cy="1905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Sources (32)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58">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§ 6972. Citizen suits</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42 USCA § 6972</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RCRA citizen suit provision authorizing private enforcement actions for violations and imminent endangerment</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...(b) Actions prohibited (1) No action may be commenced under subsection (a)(1)(A) of this section-- (A) prior to 60 days after the plaintiff has given notice of the violation to-- (i) the Administrator; (ii) the State in which the alleged violation occurs; and (iii) to any alleged violator of such permit, standard, regulation, condition, requirement, prohibition, or order, except that such action may be brought immediately after such notification in the case of an action under this section respecting a violation of subchapter III of this chapter;</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2 of 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...Except as provided in subsection (b) or (c) of this section, any person may commence a civil action on his own behalf-- (1)(A) against any person (including (a) the United States, and (b) any other governmental instrumentality or agency, to the extent permitted by the eleventh amendment to the Constitution) who is alleged to be in violation of any permit, standard, regulation, condition, requirement, prohibition, or order which has become effective pursuant to this chapter; or (B) against any person, including the United States and any other</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3 of 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...(b) Actions prohibited (2)(A) No action may be commenced under subsection (a)(1)(B) of this section prior to ninety days after the plaintiff has given notice of the endangerment to-- (iii) any person alleged to have contributed or to be contributing to the past or present handling, storage, treatment, transportation, or disposal of any solid or hazardous waste referred to in subsection (a)(1)(B),...</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4 of 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...The district court shall have jurisdiction, without regard to the amount in controversy or the citizenship of the parties, to enforce the permit, standard, regulation, condition, requirement, prohibition, or order, referred to in paragraph (1)(A), to restrain any person who has contributed or who is contributing to the past or present handling, storage, treatment, transportation, or disposal of any solid or hazardous waste referred to in paragraph (1)(B), to order such person to take such other action as may be necessary, or both, or to order</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5 of 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...Any action under paragraph (a)(1) of this subsection shall be brought in the district court for the district in which the alleged violation occurred or the alleged endangerment may occur. Any action brought under paragraph (a)(2) of this subsection may be brought in the district court for the district in which the alleged violation occurred or in the District Court of the District of Columbia....</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59">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Ecological Rights Foundation v. Pacific Gas and Elec. Co.</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Court of Appeals, Ninth Circuit.</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April 03, 2013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713 F.3d 502</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2013 WL 1319462</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Establishing three-part test for RCRA imminent endangerment claims</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0">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City of Fresno v. U.S.</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E.D.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April 22, 2010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709 F.Supp.2d 888</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2010 WL 1662476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3"/>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Citing Supreme Court precedent in Meghrig v. KFC Western, Inc., 516 U.S. 479 (1996) and Ninth Circuit precedent in Price v. United States Navy, 39 F.3d 1011 (9th Cir. 1994) regarding RCRA imminent endangerment standards</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1">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Hallstrom v. Tillamook County</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Supreme Court of the United States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November 07, 1989</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493 U.S. 20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110 S.Ct. 304</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4"/>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Establishing mandatory nature of RCRA notice requirements</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2">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City of Colton v. American Promotional Events, Inc.</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C.D.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August 09, 2011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824 F.Supp.2d 1015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2011 WL 3501833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5"/>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Explaining purposes and mandatory nature of RCRA 90-day notice requirement</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3">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§ 2000d. Prohibition against exclusion from participation in, denial of benefits of, and discrimination under federally assisted programs on ground of race, color, or national origin</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42 USCA § 2000d</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6"/>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Title VI prohibition against discrimination in federally funded programs</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...No person in the United States shall, on the ground of race, color, or national origin, be excluded from participation in, be denied the benefits of, or be subjected to discrimination under any program or activity receiving Federal financial assistance....</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4">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Alexander v. Sandoval</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Supreme Court of the United States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April 24, 2001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532 U.S. 275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121 S.Ct. 1511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7"/>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Limiting Title VI private rights of action to intentional discrimination</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5">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Cabrera v. Alvarez</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N.D.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March 27, 2013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977 F.Supp.2d 969</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2013 WL 1283445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8"/>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Applying intentional discrimination framework under Title VI</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6">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Association of Mexican-American Educators v. State of Cal.</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N.D.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September 17, 1996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937 F.Supp. 1397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1996 WL 532274</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9"/>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Explaining Title VI disparate impact standards and substantial legitimate justification test</w:t>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7">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San Francisco Herring Association v. Pacific Gas and Electric Company</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N.D.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February 26, 2015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81 F.Supp.3d 847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2015 WL 859420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0"/>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Upholding RCRA standing and adequate pleadings for environmental contamination claims</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8">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Clarke v. Upton</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E.D.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March 18, 2010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703 F.Supp.2d 1037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2010 WL 1027526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1"/>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Requiring federal funding nexus and intended beneficiary status for Title VI claims</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69">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Jim 72 Properties, LLC v. Montgomery Clearners</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C.D.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December 16, 2015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151 F.Supp.3d 1092</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2015 WL 9093421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2"/>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Characterizing RCRA citizen suits as remedial in nature</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0">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§ 2000d-1. Federal authority and financial assistance to programs or activities by way of grant, loan, or contract other than contract of insurance or guaranty;  rules and regulations;  approval by President;  compliance with requirements;  reports to Congressional committees;  effective date of administrative action</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42 USCA § 2000d-1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3"/>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Title VI enforcement mechanisms including funding termination authority</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...Each Federal department and agency which is empowered to extend Federal financial assistance to any program or activity, by way of grant, loan, or contract other than a contract of insurance or guaranty, is authorized and directed to effectuate the provisions of section 2000d of this title with respect to such program or activity by issuing rules, regulations, or orders of general applicability which shall be consistent with achievement of the objectives of the statute authorizing the financial assistance in connection with which the action</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1">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Northern California River Watch v. Honeywell Aerospace</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N.D.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November 14, 2011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830 F.Supp.2d 760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2011 WL 5525943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4"/>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Allowing RCRA claims for imminent endangerment and open dumping violations</w:t>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2">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Price v. U.S. Navy</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S.D.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December 04, 1992</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818 F.Supp. 1323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1992 WL 469881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5"/>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Dismissing RCRA claims for lack of imminent substantial endangerment and necessity for action</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3">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Hardie v. National Collegiate Athletic Ass'n.</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S.D.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March 24, 2015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97 F.Supp.3d 1163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2015 WL 1511006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6"/>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AI document summary</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Holding that disparate impact claims are not cognizable under Title VI statute</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4">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California Dept. of Toxic Substances Control v. Interstate Non-Ferrous Corp.</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United States District Court, E.D. California.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July 28, 2003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298 F.Supp.2d 930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2003 WL 22170743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5">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IN RE: UNITED STATES COAST GUARD, RESPONDENT,</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E.P.A.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July 17, 2018</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2018 WL 9960263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7"/>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 This Consent Agreement (“CA”) is entered into by the Director of the Office of Enforcement, Compliance and Environmental Justice, U.S. Environmental Protection Agency, Region 111 (“EPA” or “Complainant”) and the United States Coast Guard (“USCG” or “Respondent”). This CA is entered into pursuant to Section 3008(a) and (g) of the Resource Conservation and Recovery Act, as amended (“RCRA”), 42 U.S.C. § 6928(a) and (g). Sections 113 and 118(a) of the Clean Air Act, as amended (“CAA”), 42 U.S.C. §§ 7413 and 7418(a), and the Consolidated Rules</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2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...11 Based on the representations of the parties in the attached Consent Agreement, the penalty agreed to therein is based upon consideration of, inter alia, EPA's RCRA Civil Penalty Policy (2003), and the statutory factors set forth in Section 3008(a)(3) of the Resource Conservation and Recovery Act (“RCRA”), 42 U.S.C. § 6928(a)(3), EPA's Clean Air Act Stationary Source Civil Penalty Policy (dated October 25, 1991), as indexed for inflation in keeping with 40 C.F.R. Part 19. and the statutory factors set forth in Section 113(e) of the Clean Air</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6">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IN RE: UNITED STATES DEPARTMENT OF THE NAVY, RESPONDENT.</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E.P.A.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February 02, 2016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2016 WL 11649587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8"/>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 This Consent Agreement (“CA”) is entered into by the Director of the Office of Enforcement, Compliance, and Environmental Justice, U.S. Environmental Protection Agency, Region III (“EPA” or “Complainant”), and the U.S. Department of the Navy (“Respondent”), pursuant to Sections 3008(a)(1) and (g), 6001(b), 9006, and 9007(a) of the Resource Conservation and Recovery Act, as amended (“RCRA”), 42 U.S.C. §§ 6928(a)(1) and (g), 6961(b), 6991 e, and 6991 f(a), Sections 113 and 118(a) of the Clean Air Act (“CAA”), 42 U.S.C. §§ 7413 and 7418(a), and</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7">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IN THE MATTER OF: UNITED STATES DEPARTMENT OF THE ARMY, RESPONDENT. UNITED STATES ARMY GARRISON FORT DETRICK, 810 SCHREIDER STREET, FORT DETRICK, MARYLAND 21702-5000, FACILITY.</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E.P.A.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January 23, 2020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2020 WL 1165060</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19"/>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...11. This Consent Agreement is entered into by the Director of the Enforcement and Compliance Assurance Division, U.S. Environmental Protection Agency, Region III (“Complainant”) and the U.S. Department of the Army (“Respondent”) (collectively the “Parties”), pursuant to Section 3008(a)(1) and (g) of the Resource Conservation and Recovery Act, as amended (“RCRA”), 42 U.S.C. § 6928(a)(1) and (g), and Sections 113 and 118(a) of the Clean Air Act, as amended (“CAA”), 42 U.S.C. §§ 7413 and 7418(a), and the Consolidated Rules of Practice Governing</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2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...1291. This CAFO resolves only EPA's claims for civil penalties for the specific violations alleged against Respondent in this CAFO. EPA reserves the right to commence action against any person, including Respondent, in response to any condition which EPA determines may present an imminent and substantial endangerment to the public health, public welfare, or the environment. This settlement is subject to all limitations on the scope of resolution and to the reservation of rights set forth in Section 22.18(c) of the Consolidated Rules of Practice,</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8">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IN RE: UNITED STATES DEPARTMENT OF THE NAVY, RESPONDENT,</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E.P.A.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May 04, 2018</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2018 WL 9960217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0"/>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...11 Complainant, the Director of the Office of Enforcement. Compliance and Environmental Justice, U.S. Environmental Protection Agency, Region III, and Respondent, the United States Department of the Navy, have executed a document entitled “Consent Agreement,” which I hereby ratify as a Consent Agreement in accordance with the Consolidated Rules of Practice Governing the Administrative Assessment of Civil Penalties and the Revocation/Termination or Suspension of Permits (“Consolidated Rules of Practice”), 40 C.F.R. Part 22. with specific reference</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2 of 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...1067. This CAFO resolves only the civil claims for monetary penalties for the specific violations alleged in the CAFO. EPA reserves the right to commence action against any person. including Respondent, in response to any condition which EPA determines may present an imminent and substantial endangerment to the public health, public welfare, or the environment. In addition, this settlement is subject to all limitations on the scope of resolution and to the reservation of rights set forth in Section 22.18(c) of the Consolidated Rules of Practice.</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79">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IN THE MATTER OF: UNITED STATES DEPARTMENT OF THE NAVY, RESPONDENT,</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E.P.A.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July 27, 2016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2016 WL 11649188</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1"/>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...958. For the violations alleged in Counts I - v. EPA considered a number of factors including, but not limited to, the statutory factors set forth in Section 3008(a)(3) of the RCRA, 42 U.S.C. § 6928(a)(3), i.e., the seriousness of Respondent's violations and the good faith efforts by Respondent to comply with the applicable requirements of the RCRA. These factors were applied to the particular facts and circumstances of this case with specific reference to EPA's October 1990 RCRA Civil Penalty Policy, as revised in June 2003, which reflect the</w:t>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0">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Wrongful Handling or Disposal of Solid or Hazardous Waste</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American Jurisprudence Proof of Facts 3d</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40 AMJUR POF 3d 457</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2"/>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...Environmental advocacy organization, members, and residents plausibly alleged an endangerment that was also substantial, as required to state a Resource Conservation and Recovery Act (RCRA) endangerment claim; plaintiffs alleged that they were exposed to various fugitive emissions, including volatile organic compounds (VOCs), and that such emissions resulted in headaches, eye irritation, nausea, coughing, choking, and breathing problems. Solid Waste Disposal Act § 7002, 42 U.S.C.A. § 6972(a)(1)(B). Fresh Air for the Eastside, Inc. v. Waste Management</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1">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Requirement that there be continuing violation to maintain citizen suit under federal environmental protection statutes—post–Gwaltney cases</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American Law Reports ALR Federal</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158 A.L.R. Fed. 519</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3"/>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...The citizen suit provision of the Resource Conservation and Recovery Act (RCRA) has the same "to be in violation" language as the Clean Water Act. In addition, RCRA authorizes citizen suits to be brought against any violator "who has contributed or who is contributing to the past or present handling, storage, treatment, transportation, or disposal of any solid or hazardous waste which may present an imminent and substantial endangerment to health or the environment." Thus a citizen suit may be maintained for potential or threatened endangerment,</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2">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Cause of Action by Private Party Under Resource Conservation and Recovery Act [42 USC § 6972(a)(1)(B)] to Abate Dangerous Conditions</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Causes of Action First Series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30 COA 675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4"/>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...To establish a right to relief in an action under § 7002(a)(1) (B) of the Resource Conservation and Recovery Act (RCRA) [ 42 USC § 6972(a)(1)(B)], the plaintiff must prove: 1.standing to sue [see § 6];2.there exist conditions that may present an imminent or substantial endangerment to health or the environment [see § 7];3.the endangerment is a result of the past or present handling, storage, treatment, transportation, or disposal of solid or hazardous waste [see § 8];4.it has given notice of the endangerment to the Environmental Protection Agency,</w:t>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3">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Proof of What Constitutes Hazardous Waste Under Resource Conservation and Recovery Act (RCRA)</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American Jurisprudence Proof of Facts 3d</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152 AMJUR POF 3d 281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5"/>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...The plaintiff in a citizens' suit must establish a present risk rather than just a past danger.[8] Allegations of continuing violations of RCRA may satisfy this requirement.[9] A failure to take corrective action in response to the release of hazardous waste may constitute a continuing violation for purposes of determining whether the plaintiff may assert a citizens' suit.[10] A citizens' group may maintain a claim even if the defendant's conduct that caused the violation ceased provided that the violation itself is continuing.[11] Courts have</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4">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Cause of Action for Racial and National Origin Discrimination with Respect to Environmental Issues Pursuant to Title VI of Civil Rights Act</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Causes of Action Second Series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72 COA2d 313</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6"/>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...PROOF•Factors indicative of a discriminatory animus include:(1)the historical background of the allegedly discriminatory decision [§ 34];(2)any departures from the normal procedural sequence also might afford evidence that improper purposes are playing a role [§ 34];(3)any substantive departures particularly if the factors usually considered important by the decision maker strongly favor a decision contrary to the one reached [§ 34]; and(4)the foreseeability of the consequences of the state action [§ 34].•Once a plaintiff has established that</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2 of 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...A decision by the U.S. Supreme Court, in Alexander v. Sandoval, 532 U.S. 275, 121 S. Ct. 1511, 149 L. Ed. 2 d 517, 80 Empl. Prac. Dec. (CCH) ¶ 40456 (2001), overruled the private right of action to enforce disparate impact regulations under Title VI. The U.S. Supreme Court held that there is no implied private right of action to enforce disparate impact regulations promulgated under § 602 of Title VI. Alexander v. Sandoval, 532 U.S. 275, 121 S. Ct. 1511, 149 L. Ed. 2 d 517, 80 Empl. Prac. Dec. (CCH) ¶ 40456 (2001). Thus, there is no longer a</w:t>
              <w:br w:type="textWrapping"/>
              <w:br w:type="textWrapping"/>
            </w: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3 of 3</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...RELIEF•A plaintiff may avoid summary judgment in a Title VI claim only by creating a genuine issue of material fact that the defendant intended to discriminate [§ 41].•The remedies available under Title VI, include compensatory damages and injunctive relief only, [§ 42], and clearly prohibit punitive damage awards, [§§ 42, 45].•Monetary damages are also available in a Title VI action [§ 42].•Declaratory relief is also available but a plaintiff seeking declaratory relief cannot rely on past injury to satisfy the injury requirement for standing,</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5">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U.S. EPA Action under the Comprehensive Environmental Response, Compensation, and Liability Act (Superfund)</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American Jurisprudence Trials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68 AMJUR TRIALS 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7"/>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...In order to adequately support the issuance of a UAO, U.S. EPA must be able to show that a release or threat of release of hazardous substances has occurred at a facility.[45] In addition, U.S. EPA must show that this release may result in imminent and substantial endangerment, and a response action is necessary to eliminate that risk.[46] In order for the danger to be imminent, it does not have to be immediate, but conditions must be present to give rise to the danger even if the harm will not manifest itself for years.[47] The danger is substantial</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6">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Cause of Action for Private Cost Recovery Under Comprehensive Environmental Response Compensation and Liability Act (CERCLA) 42 USC § 9607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Causes of Action First Series</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25 COA 141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8"/>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...There is no private right of action under CERCLA for injunctive relief to compel another private party to clean up a contaminated site. Rockaway v Klockner &amp; Klockner, 811 FSupp 1039 (D NJ 1993)....</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7">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Citizen Suit Action/RCRA: Federal Court Addresses Applicability to Agency Supervised Site Remediation</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Walter Wright Jr., Mitchell, Williams, Selig, Gates &amp; Woodyard, P.L.L.C.</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JD Supra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2024 WLNR 25713241</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April 23, 2025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29"/>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...That the defendant has contributed to or is contributing to the handling, storage, treatment, transportation, or disposal of solid or hazardous waste; and That the solid or hazardous waste may present an imminent and substantial endangerment to health or the environment. See 43 U.S.C. § 6972(a)(1)(B)....</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8">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Citizen Suit Action/Clean Water Act/RCRA: Federal Court Addresses Jurisdictional Issues</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Walter Wright Jr., Mitchell, Williams, Selig, Gates &amp; Woodyard, P.L.L.C.</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JD Supra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2025 WLNR 18249306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July 22, 2025</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30"/>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...Riverkeeper sent Waste Connections a Notice of Intent to Sue letter alleging violations of the CWA and RCRA. The Tennessee environmental agency was alleged to have subsequently failed to bring an enforcement action. Further, the violations were alleged to have not ceased and ongoing or likely to recur. These are required prerequisites to prosecuting CWA and RCRA citizen suit actions. Both the CWA and the RCRA contain similar provisions allowing for "citizen suits," which authorize enforcement by citizens after notice and when the government</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hyperlink r:id="rId89">
        <w:r w:rsidDel="00000000" w:rsidR="00000000" w:rsidRPr="00000000">
          <w:rPr>
            <w:rFonts w:ascii="Arial" w:cs="Arial" w:eastAsia="Arial" w:hAnsi="Arial"/>
            <w:b w:val="1"/>
            <w:bCs w:val="1"/>
            <w:i w:val="0"/>
            <w:iCs w:val="0"/>
            <w:smallCaps w:val="0"/>
            <w:strike w:val="0"/>
            <w:color w:val="467886"/>
            <w:sz w:val="24"/>
            <w:szCs w:val="24"/>
            <w:u w:val="single"/>
            <w:shd w:fill="auto" w:val="clear"/>
            <w:vertAlign w:val="baseline"/>
            <w:rtl w:val="0"/>
          </w:rPr>
          <w:t xml:space="preserve">Solid Waste/RCRA: Federal Court Addresses Status of Medicinal Product</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64000"/>
          <w:sz w:val="18"/>
          <w:szCs w:val="18"/>
          <w:u w:val="none"/>
          <w:shd w:fill="auto" w:val="clear"/>
          <w:vertAlign w:val="baseline"/>
          <w:rtl w:val="0"/>
        </w:rPr>
        <w:t xml:space="preserve">Out of plan</w:t>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Walter Wright Jr., Mitchell, Williams, Selig, Gates &amp; Woodyard, P.L.L.C.</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1d1d1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JD Supra</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2026 WLNR 5212256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d1d1d"/>
          <w:sz w:val="18"/>
          <w:szCs w:val="18"/>
          <w:u w:val="none"/>
          <w:shd w:fill="auto" w:val="clear"/>
          <w:vertAlign w:val="baseline"/>
          <w:rtl w:val="0"/>
        </w:rPr>
        <w:t xml:space="preserve">February 20, 2026</w:t>
      </w:r>
      <w:r w:rsidDel="00000000" w:rsidR="00000000" w:rsidRPr="00000000">
        <w:rPr>
          <w:rFonts w:ascii="Arial" w:cs="Arial" w:eastAsia="Arial" w:hAnsi="Arial"/>
          <w:b w:val="0"/>
          <w:bCs w:val="0"/>
          <w:i w:val="0"/>
          <w:iCs w:val="0"/>
          <w:smallCaps w:val="0"/>
          <w:strike w:val="0"/>
          <w:color w:val="1d1d1d"/>
          <w:sz w:val="18"/>
          <w:szCs w:val="18"/>
          <w:u w:val="none"/>
          <w:shd w:fill="auto" w:val="clear"/>
          <w:vertAlign w:val="baseline"/>
          <w:rtl w:val="0"/>
        </w:rPr>
        <w:br w:type="textWrapping"/>
      </w:r>
    </w:p>
    <w:tbl>
      <w:tblPr>
        <w:tblStyle w:val="Table31"/>
        <w:tblW w:w="9344.0" w:type="dxa"/>
        <w:jc w:val="left"/>
        <w:tblInd w:w="706.0" w:type="dxa"/>
        <w:tblBorders>
          <w:top w:color="e8e8e8" w:space="0" w:sz="6" w:val="single"/>
          <w:left w:color="e8e8e8" w:space="0" w:sz="6" w:val="single"/>
          <w:bottom w:color="e8e8e8" w:space="0" w:sz="6" w:val="single"/>
          <w:right w:color="e8e8e8" w:space="0" w:sz="6" w:val="single"/>
          <w:insideH w:color="e8e8e8" w:space="0" w:sz="6" w:val="single"/>
          <w:insideV w:color="e8e8e8" w:space="0" w:sz="6" w:val="single"/>
        </w:tblBorders>
        <w:tblLayout w:type="fixed"/>
        <w:tblLook w:val="0000"/>
      </w:tblPr>
      <w:tblGrid>
        <w:gridCol w:w="9344"/>
        <w:tblGridChange w:id="0">
          <w:tblGrid>
            <w:gridCol w:w="9344"/>
          </w:tblGrid>
        </w:tblGridChange>
      </w:tblGrid>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1d1d"/>
                <w:sz w:val="24"/>
                <w:szCs w:val="24"/>
                <w:u w:val="none"/>
                <w:shd w:fill="auto" w:val="clear"/>
                <w:vertAlign w:val="baseline"/>
                <w:rtl w:val="0"/>
              </w:rPr>
              <w:t xml:space="preserve">Supporting section 1 of 1</w:t>
            </w: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t xml:space="preserve">...The Court further noted: The U.S. Food and Drug Administration recognizes benzoyl peroxide as safe in treatment of acne but benzene is a potential degradation product. The U.S. Environmental Protection Agency has classified benzene as a: Known human carcinogen for all routes of exposure. Long term exposure may present an imminent substantial endangerment to health or the environment. Defendant was alleged to have violated RCRA by "generating hazardous waste without complying with the applicable regulations." Plaintiff purchased an over-the-counter</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spacing w:after="113" w:before="113" w:lineRule="auto"/>
        <w:rPr>
          <w:b w:val="1"/>
          <w:bCs w:val="1"/>
          <w:sz w:val="16"/>
          <w:szCs w:val="16"/>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Research Steps</w:t>
        <w:br w:type="textWrapping"/>
      </w:r>
    </w:p>
    <w:p w:rsidR="00000000" w:rsidDel="00000000" w:rsidP="00000000" w:rsidRDefault="00000000" w:rsidRPr="00000000" w14:paraId="0000010B">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Researching the statutory framework and elements of RCRA citizen suit claims under 42 U.S.C. §6972(a)(1)(A) for past or present handling, storage, treatment, transportation, or disposal of solid or hazardous waste</w:t>
      </w:r>
      <w:r w:rsidDel="00000000" w:rsidR="00000000" w:rsidRPr="00000000">
        <w:rPr>
          <w:rtl w:val="0"/>
        </w:rPr>
      </w:r>
    </w:p>
    <w:p w:rsidR="00000000" w:rsidDel="00000000" w:rsidP="00000000" w:rsidRDefault="00000000" w:rsidRPr="00000000" w14:paraId="0000010C">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42 U.S.C. §6972(a)(1)(A) allows citizen suits against persons violating permits, standards, regulations, or orders under RCRA - must establish past/present violation of regulatory requirement</w:t>
      </w:r>
      <w:r w:rsidDel="00000000" w:rsidR="00000000" w:rsidRPr="00000000">
        <w:rPr>
          <w:rtl w:val="0"/>
        </w:rPr>
      </w:r>
    </w:p>
    <w:p w:rsidR="00000000" w:rsidDel="00000000" w:rsidP="00000000" w:rsidRDefault="00000000" w:rsidRPr="00000000" w14:paraId="0000010D">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Analyzing the statutory framework and elements of RCRA citizen suit claims under 42 U.S.C. §6972(a)(1)(B) for imminent and substantial endangerment to health or the environment</w:t>
      </w:r>
      <w:r w:rsidDel="00000000" w:rsidR="00000000" w:rsidRPr="00000000">
        <w:rPr>
          <w:rtl w:val="0"/>
        </w:rPr>
      </w:r>
    </w:p>
    <w:p w:rsidR="00000000" w:rsidDel="00000000" w:rsidP="00000000" w:rsidRDefault="00000000" w:rsidRPr="00000000" w14:paraId="0000010E">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42 U.S.C. §6972(a)(1)(B) allows suits against past/present generators, transporters, owners/operators who contributed to waste handling that may present imminent and substantial endangerment to health/environment. Case law requires: (1) defendant is generator/transporter or facility operator, (2) defendant contributed to waste handling, (3) waste may present imminent and substantial endangerment</w:t>
      </w:r>
      <w:r w:rsidDel="00000000" w:rsidR="00000000" w:rsidRPr="00000000">
        <w:rPr>
          <w:rtl w:val="0"/>
        </w:rPr>
      </w:r>
    </w:p>
    <w:p w:rsidR="00000000" w:rsidDel="00000000" w:rsidP="00000000" w:rsidRDefault="00000000" w:rsidRPr="00000000" w14:paraId="0000010F">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Examining standing requirements, notice provisions, and procedural prerequisites for RCRA citizen suits under 42 U.S.C. §6972 in California Federal District Courts</w:t>
      </w:r>
      <w:r w:rsidDel="00000000" w:rsidR="00000000" w:rsidRPr="00000000">
        <w:rPr>
          <w:rtl w:val="0"/>
        </w:rPr>
      </w:r>
    </w:p>
    <w:p w:rsidR="00000000" w:rsidDel="00000000" w:rsidP="00000000" w:rsidRDefault="00000000" w:rsidRPr="00000000" w14:paraId="00000110">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RCRA citizen suits require: (1) 90-day notice to EPA, state, and alleged violator for §6972(a)(1)(B) claims; (2) 60-day notice for §6972(a)(1)(A) claims; (3) notice is mandatory condition precedent per Hallstrom v. Tillamook County; (4) standing requires injury-in-fact, causation, and redressability under Article III</w:t>
      </w:r>
      <w:r w:rsidDel="00000000" w:rsidR="00000000" w:rsidRPr="00000000">
        <w:rPr>
          <w:rtl w:val="0"/>
        </w:rPr>
      </w:r>
    </w:p>
    <w:p w:rsidR="00000000" w:rsidDel="00000000" w:rsidP="00000000" w:rsidRDefault="00000000" w:rsidRPr="00000000" w14:paraId="00000111">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Researching the statutory framework and elements of Title VI civil rights claims under 42 U.S.C. §2000d for discrimination in federally funded programs</w:t>
      </w:r>
      <w:r w:rsidDel="00000000" w:rsidR="00000000" w:rsidRPr="00000000">
        <w:rPr>
          <w:rtl w:val="0"/>
        </w:rPr>
      </w:r>
    </w:p>
    <w:p w:rsidR="00000000" w:rsidDel="00000000" w:rsidP="00000000" w:rsidRDefault="00000000" w:rsidRPr="00000000" w14:paraId="00000112">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Title VI prohibits discrimination based on race, color, or national origin in federally funded programs. No express private right of action, but courts recognize implied right under Alexander v. Sandoval framework. Disparate impact claims require showing disproportionate adverse effects on protected groups and lack of substantial legitimate justification</w:t>
      </w:r>
      <w:r w:rsidDel="00000000" w:rsidR="00000000" w:rsidRPr="00000000">
        <w:rPr>
          <w:rtl w:val="0"/>
        </w:rPr>
      </w:r>
    </w:p>
    <w:p w:rsidR="00000000" w:rsidDel="00000000" w:rsidP="00000000" w:rsidRDefault="00000000" w:rsidRPr="00000000" w14:paraId="00000113">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Analyzing standing requirements, exhaustion of administrative remedies, and procedural requirements for Title VI claims in California Federal District Courts</w:t>
      </w:r>
      <w:r w:rsidDel="00000000" w:rsidR="00000000" w:rsidRPr="00000000">
        <w:rPr>
          <w:rtl w:val="0"/>
        </w:rPr>
      </w:r>
    </w:p>
    <w:p w:rsidR="00000000" w:rsidDel="00000000" w:rsidP="00000000" w:rsidRDefault="00000000" w:rsidRPr="00000000" w14:paraId="00000114">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Title VI claims require: (1) plaintiff is member of protected class; (2) defendant receives federal funding; (3) exclusion/denial of benefits/discrimination; (4) based on race, color, or national origin. Private rights of action exist for intentional discrimination under Alexander v. Sandoval. Disparate impact claims only available under implementing regulations with administrative enforcement</w:t>
      </w:r>
      <w:r w:rsidDel="00000000" w:rsidR="00000000" w:rsidRPr="00000000">
        <w:rPr>
          <w:rtl w:val="0"/>
        </w:rPr>
      </w:r>
    </w:p>
    <w:p w:rsidR="00000000" w:rsidDel="00000000" w:rsidP="00000000" w:rsidRDefault="00000000" w:rsidRPr="00000000" w14:paraId="00000115">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Examining California Federal District Court case law addressing the intersection of RCRA citizen suits and Title VI civil rights claims</w:t>
      </w:r>
      <w:r w:rsidDel="00000000" w:rsidR="00000000" w:rsidRPr="00000000">
        <w:rPr>
          <w:rtl w:val="0"/>
        </w:rPr>
      </w:r>
    </w:p>
    <w:p w:rsidR="00000000" w:rsidDel="00000000" w:rsidP="00000000" w:rsidRDefault="00000000" w:rsidRPr="00000000" w14:paraId="00000116">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Limited case law on RCRA/Title VI intersection in California federal courts. Environmental justice claims under Title VI seen in Padres Hacia Una Vida Mejor v. Jackson. Both statutes allow claims against entities receiving federal funding. RCRA targets waste management violations, Title VI addresses discrimination in federally funded programs</w:t>
      </w:r>
      <w:r w:rsidDel="00000000" w:rsidR="00000000" w:rsidRPr="00000000">
        <w:rPr>
          <w:rtl w:val="0"/>
        </w:rPr>
      </w:r>
    </w:p>
    <w:p w:rsidR="00000000" w:rsidDel="00000000" w:rsidP="00000000" w:rsidRDefault="00000000" w:rsidRPr="00000000" w14:paraId="00000117">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Researching remedies available under RCRA citizen suit provisions and Title VI claims in California Federal District Courts</w:t>
      </w:r>
      <w:r w:rsidDel="00000000" w:rsidR="00000000" w:rsidRPr="00000000">
        <w:rPr>
          <w:rtl w:val="0"/>
        </w:rPr>
      </w:r>
    </w:p>
    <w:p w:rsidR="00000000" w:rsidDel="00000000" w:rsidP="00000000" w:rsidRDefault="00000000" w:rsidRPr="00000000" w14:paraId="00000118">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RCRA remedies include injunctive relief, abatement orders, and civil penalties under 42 U.S.C. §6928. Courts can order cessation of violations and corrective action. Title VI remedies include injunctive relief and termination of federal funding. RCRA citizen suits are remedial, not punitive per Jim 72 Props., LLC v. Montgomery Clearners</w:t>
      </w:r>
      <w:r w:rsidDel="00000000" w:rsidR="00000000" w:rsidRPr="00000000">
        <w:rPr>
          <w:rtl w:val="0"/>
        </w:rPr>
      </w:r>
    </w:p>
    <w:p w:rsidR="00000000" w:rsidDel="00000000" w:rsidP="00000000" w:rsidRDefault="00000000" w:rsidRPr="00000000" w14:paraId="00000119">
      <w:pPr>
        <w:numPr>
          <w:ilvl w:val="0"/>
          <w:numId w:val="6"/>
        </w:numPr>
        <w:ind w:left="72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Analyzing potential defenses and immunities applicable to RCRA and Title VI claims in California Federal District Courts</w:t>
      </w:r>
      <w:r w:rsidDel="00000000" w:rsidR="00000000" w:rsidRPr="00000000">
        <w:rPr>
          <w:rtl w:val="0"/>
        </w:rPr>
      </w:r>
    </w:p>
    <w:p w:rsidR="00000000" w:rsidDel="00000000" w:rsidP="00000000" w:rsidRDefault="00000000" w:rsidRPr="00000000" w14:paraId="0000011A">
      <w:pPr>
        <w:numPr>
          <w:ilvl w:val="1"/>
          <w:numId w:val="6"/>
        </w:numPr>
        <w:ind w:left="1440" w:hanging="360"/>
        <w:rPr>
          <w:b w:val="0"/>
          <w:bCs w:val="0"/>
          <w:i w:val="0"/>
          <w:iCs w:val="0"/>
          <w:strike w:val="0"/>
        </w:rPr>
      </w:pPr>
      <w:r w:rsidDel="00000000" w:rsidR="00000000" w:rsidRPr="00000000">
        <w:rPr>
          <w:rFonts w:ascii="Arial" w:cs="Arial" w:eastAsia="Arial" w:hAnsi="Arial"/>
          <w:b w:val="0"/>
          <w:bCs w:val="0"/>
          <w:i w:val="0"/>
          <w:iCs w:val="0"/>
          <w:strike w:val="0"/>
          <w:color w:val="1d1d1d"/>
          <w:rtl w:val="0"/>
        </w:rPr>
        <w:t xml:space="preserve">Key defenses include: (1) Eleventh Amendment immunity for state agencies (waived if state files suit first); (2) Qualified immunity for individual officials; (3) Statutory immunities under CERCLA §107(d) for government response actions; (4) Lack of causation between defendant's conduct and alleged harm; (5) No imminent substantial endangerment; (6) Failure to meet notice requirements; (7) Ongoing government enforcement precludes citizen suit</w:t>
        <w:br w:type="textWrapp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234950</wp:posOffset>
                </wp:positionV>
                <wp:extent cx="5905500" cy="19050"/>
                <wp:effectExtent b="0" l="0" r="0" t="0"/>
                <wp:wrapNone/>
                <wp:docPr id="1" name=""/>
                <a:graphic>
                  <a:graphicData uri="http://schemas.microsoft.com/office/word/2010/wordprocessingShape">
                    <wps:wsp>
                      <wps:cNvCnPr/>
                      <wps:spPr>
                        <a:xfrm>
                          <a:off x="2393250" y="3780000"/>
                          <a:ext cx="590550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234950</wp:posOffset>
                </wp:positionV>
                <wp:extent cx="5905500" cy="190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05500" cy="19050"/>
                        </a:xfrm>
                        <a:prstGeom prst="rect"/>
                        <a:ln/>
                      </pic:spPr>
                    </pic:pic>
                  </a:graphicData>
                </a:graphic>
              </wp:anchor>
            </w:drawing>
          </mc:Fallback>
        </mc:AlternateConten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Questions for further research</w:t>
        <w:br w:type="textWrapping"/>
      </w:r>
    </w:p>
    <w:p w:rsidR="00000000" w:rsidDel="00000000" w:rsidP="00000000" w:rsidRDefault="00000000" w:rsidRPr="00000000" w14:paraId="0000011D">
      <w:pPr>
        <w:numPr>
          <w:ilvl w:val="0"/>
          <w:numId w:val="1"/>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rtl w:val="0"/>
        </w:rPr>
        <w:t xml:space="preserve">Has the plaintiff provided the required 90-day notice to EPA, the state, and all alleged violators before filing the RCRA endangerment claims under §6972(a)(1)(B)?</w:t>
      </w:r>
      <w:r w:rsidDel="00000000" w:rsidR="00000000" w:rsidRPr="00000000">
        <w:rPr>
          <w:rtl w:val="0"/>
        </w:rPr>
      </w:r>
    </w:p>
    <w:p w:rsidR="00000000" w:rsidDel="00000000" w:rsidP="00000000" w:rsidRDefault="00000000" w:rsidRPr="00000000" w14:paraId="0000011E">
      <w:pPr>
        <w:numPr>
          <w:ilvl w:val="0"/>
          <w:numId w:val="1"/>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rtl w:val="0"/>
        </w:rPr>
        <w:t xml:space="preserve">What specific types of solid or hazardous waste are allegedly being handled, stored, treated, transported, or disposed of at the facilities in question?</w:t>
      </w:r>
      <w:r w:rsidDel="00000000" w:rsidR="00000000" w:rsidRPr="00000000">
        <w:rPr>
          <w:rtl w:val="0"/>
        </w:rPr>
      </w:r>
    </w:p>
    <w:p w:rsidR="00000000" w:rsidDel="00000000" w:rsidP="00000000" w:rsidRDefault="00000000" w:rsidRPr="00000000" w14:paraId="0000011F">
      <w:pPr>
        <w:numPr>
          <w:ilvl w:val="0"/>
          <w:numId w:val="1"/>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rtl w:val="0"/>
        </w:rPr>
        <w:t xml:space="preserve">Do any of the defendant entities (City of Huntington Beach, OCHCA, RWQCB, EEC Environmental, or Mercy House) currently receive federal financial assistance that would establish the jurisdictional nexus required for Title VI claims?</w:t>
      </w:r>
      <w:r w:rsidDel="00000000" w:rsidR="00000000" w:rsidRPr="00000000">
        <w:rPr>
          <w:rtl w:val="0"/>
        </w:rPr>
      </w:r>
    </w:p>
    <w:p w:rsidR="00000000" w:rsidDel="00000000" w:rsidP="00000000" w:rsidRDefault="00000000" w:rsidRPr="00000000" w14:paraId="00000120">
      <w:pPr>
        <w:numPr>
          <w:ilvl w:val="0"/>
          <w:numId w:val="1"/>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rtl w:val="0"/>
        </w:rPr>
        <w:t xml:space="preserve">What specific actions or decisions by the defendants does the plaintiff allege constitute discrimination based on race, color, or national origin in violation of Title VI?</w:t>
      </w:r>
      <w:r w:rsidDel="00000000" w:rsidR="00000000" w:rsidRPr="00000000">
        <w:rPr>
          <w:rtl w:val="0"/>
        </w:rPr>
      </w:r>
    </w:p>
    <w:p w:rsidR="00000000" w:rsidDel="00000000" w:rsidP="00000000" w:rsidRDefault="00000000" w:rsidRPr="00000000" w14:paraId="00000121">
      <w:pPr>
        <w:numPr>
          <w:ilvl w:val="0"/>
          <w:numId w:val="1"/>
        </w:numPr>
        <w:ind w:left="720" w:hanging="360"/>
        <w:rPr>
          <w:b w:val="0"/>
          <w:bCs w:val="0"/>
          <w:i w:val="0"/>
          <w:iCs w:val="0"/>
          <w:strike w:val="0"/>
        </w:rPr>
      </w:pPr>
      <w:r w:rsidDel="00000000" w:rsidR="00000000" w:rsidRPr="00000000">
        <w:rPr>
          <w:rFonts w:ascii="Arial" w:cs="Arial" w:eastAsia="Arial" w:hAnsi="Arial"/>
          <w:b w:val="1"/>
          <w:bCs w:val="1"/>
          <w:i w:val="0"/>
          <w:iCs w:val="0"/>
          <w:strike w:val="0"/>
          <w:color w:val="1d1d1d"/>
          <w:rtl w:val="0"/>
        </w:rPr>
        <w:t xml:space="preserve">Are there any ongoing government enforcement actions, CERCLA cleanup activities, or administrative proceedings addressing the same environmental conditions that form the basis of the RCRA claims?</w:t>
      </w:r>
      <w:r w:rsidDel="00000000" w:rsidR="00000000" w:rsidRPr="00000000">
        <w:rPr>
          <w:rFonts w:ascii="Arial" w:cs="Arial" w:eastAsia="Arial" w:hAnsi="Arial"/>
          <w:b w:val="0"/>
          <w:bCs w:val="0"/>
          <w:i w:val="0"/>
          <w:iCs w:val="0"/>
          <w:strike w:val="0"/>
          <w:color w:val="1d1d1d"/>
          <w:rtl w:val="0"/>
        </w:rPr>
        <w:br w:type="textWrapping"/>
        <w:br w:type="textWrapp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d1d1d"/>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d1d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90" w:type="default"/>
      <w:footerReference r:id="rId91" w:type="default"/>
      <w:footerReference r:id="rId92" w:type="even"/>
      <w:pgSz w:h="15840" w:w="12240" w:orient="portrait"/>
      <w:pgMar w:bottom="1440" w:top="1440" w:left="1440" w:right="1440" w:header="73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Westlaw Advantage. © 2026 Thomson Reuters. No claim to original U.S. Government Works.</w:t>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-102234</wp:posOffset>
              </wp:positionV>
              <wp:extent cx="5933440" cy="19050"/>
              <wp:effectExtent b="0" l="0" r="0" t="0"/>
              <wp:wrapNone/>
              <wp:docPr id="3" name=""/>
              <a:graphic>
                <a:graphicData uri="http://schemas.microsoft.com/office/word/2010/wordprocessingShape">
                  <wps:wsp>
                    <wps:cNvCnPr/>
                    <wps:spPr>
                      <a:xfrm flipH="1" rot="10800000">
                        <a:off x="2379280" y="3778541"/>
                        <a:ext cx="5933440" cy="2918"/>
                      </a:xfrm>
                      <a:prstGeom prst="straightConnector1">
                        <a:avLst/>
                      </a:prstGeom>
                      <a:noFill/>
                      <a:ln cap="flat" cmpd="sng" w="19050">
                        <a:solidFill>
                          <a:srgbClr val="74747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-102234</wp:posOffset>
              </wp:positionV>
              <wp:extent cx="5933440" cy="19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33440" cy="19050"/>
                      </a:xfrm>
                      <a:prstGeom prst="rect"/>
                      <a:ln/>
                    </pic:spPr>
                  </pic:pic>
                </a:graphicData>
              </a:graphic>
            </wp:anchor>
          </w:drawing>
        </mc:Fallback>
      </mc:AlternateConten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Westlaw AI Deep Research</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Response generated: March 9, 2026 at 1:09 p.m. UTC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Quattrocento Sans" w:cs="Quattrocento Sans" w:eastAsia="Quattrocento Sans" w:hAnsi="Quattrocento San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sz w:val="40"/>
      <w:szCs w:val="40"/>
    </w:rPr>
  </w:style>
  <w:style w:type="paragraph" w:styleId="Heading2">
    <w:name w:val="heading 2"/>
    <w:basedOn w:val="Normal"/>
    <w:next w:val="Normal"/>
    <w:pPr>
      <w:keepNext w:val="1"/>
      <w:keepLines w:val="1"/>
      <w:spacing w:after="80" w:before="160" w:lineRule="auto"/>
    </w:pPr>
    <w:rPr>
      <w:rFonts w:ascii="Play" w:cs="Play" w:eastAsia="Play" w:hAnsi="Play"/>
      <w:sz w:val="32"/>
      <w:szCs w:val="32"/>
    </w:rPr>
  </w:style>
  <w:style w:type="paragraph" w:styleId="Heading3">
    <w:name w:val="heading 3"/>
    <w:basedOn w:val="Normal"/>
    <w:next w:val="Normal"/>
    <w:pPr>
      <w:keepNext w:val="1"/>
      <w:keepLines w:val="1"/>
      <w:spacing w:after="80" w:before="160" w:lineRule="auto"/>
    </w:pPr>
    <w:rPr>
      <w:sz w:val="28"/>
      <w:szCs w:val="28"/>
    </w:rPr>
  </w:style>
  <w:style w:type="paragraph" w:styleId="Heading4">
    <w:name w:val="heading 4"/>
    <w:basedOn w:val="Normal"/>
    <w:next w:val="Normal"/>
    <w:pPr>
      <w:keepNext w:val="1"/>
      <w:keepLines w:val="1"/>
      <w:spacing w:after="40" w:before="80" w:lineRule="auto"/>
    </w:pPr>
    <w:rPr>
      <w:i w:val="1"/>
      <w:iCs w:val="1"/>
    </w:rPr>
  </w:style>
  <w:style w:type="paragraph" w:styleId="Heading5">
    <w:name w:val="heading 5"/>
    <w:basedOn w:val="Normal"/>
    <w:next w:val="Normal"/>
    <w:pPr>
      <w:keepNext w:val="1"/>
      <w:keepLines w:val="1"/>
      <w:spacing w:after="40" w:before="80" w:lineRule="auto"/>
    </w:pPr>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1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 w:type="table" w:styleId="Table3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1.next.westlaw.com/Document/Iddadf8a5002411eab8aeecdeb6661cf4/View/FullText.html?transitionType=AIGuidedResearch&amp;contextData=%28sc.Default%29&amp;list=All&amp;listSource=WebsiteInternal&amp;conversationId=c6af9137-d274-4c35-8531-2e0b8be1e2c9" TargetMode="External"/><Relationship Id="rId84" Type="http://schemas.openxmlformats.org/officeDocument/2006/relationships/hyperlink" Target="https://1.next.westlaw.com/Document/Ieb4e7ef510f911e6b3f6f45d373f0b7c/View/FullText.html?transitionType=AIGuidedResearch&amp;contextData=%28sc.Default%29&amp;list=All&amp;listSource=WebsiteInternal&amp;conversationId=c6af9137-d274-4c35-8531-2e0b8be1e2c9" TargetMode="External"/><Relationship Id="rId83" Type="http://schemas.openxmlformats.org/officeDocument/2006/relationships/hyperlink" Target="https://1.next.westlaw.com/Document/I866411cbd7ac11e5ae1980fc01495511/View/FullText.html?transitionType=AIGuidedResearch&amp;contextData=%28sc.Default%29&amp;list=All&amp;listSource=WebsiteInternal&amp;conversationId=c6af9137-d274-4c35-8531-2e0b8be1e2c9" TargetMode="External"/><Relationship Id="rId42" Type="http://schemas.openxmlformats.org/officeDocument/2006/relationships/hyperlink" Target="https://1.next.westlaw.com/Document/I39c9ef5d63e411eabcef83564c7863ab/View/FullText.html?transitionType=AIGuidedResearch&amp;contextData=%28sc.Default%29&amp;list=All&amp;listSource=WebsiteInternal&amp;conversationId=c6af9137-d274-4c35-8531-2e0b8be1e2c9" TargetMode="External"/><Relationship Id="rId86" Type="http://schemas.openxmlformats.org/officeDocument/2006/relationships/hyperlink" Target="https://1.next.westlaw.com/Document/I2d94f2ec779c11d98c9fedf223f1c1dc/View/FullText.html?transitionType=AIGuidedResearch&amp;contextData=%28sc.Default%29&amp;list=All&amp;listSource=WebsiteInternal&amp;conversationId=c6af9137-d274-4c35-8531-2e0b8be1e2c9" TargetMode="External"/><Relationship Id="rId41" Type="http://schemas.openxmlformats.org/officeDocument/2006/relationships/hyperlink" Target="https://1.next.westlaw.com/Document/I33320904175f11eabe11e0a012830c99/View/FullText.html?transitionType=AIGuidedResearch&amp;contextData=%28sc.Default%29&amp;list=All&amp;listSource=WebsiteInternal&amp;conversationId=c6af9137-d274-4c35-8531-2e0b8be1e2c9" TargetMode="External"/><Relationship Id="rId85" Type="http://schemas.openxmlformats.org/officeDocument/2006/relationships/hyperlink" Target="https://1.next.westlaw.com/Document/I710bf1e4b02f11d997b78566ed1d337f/View/FullText.html?transitionType=AIGuidedResearch&amp;contextData=%28sc.Default%29&amp;list=All&amp;listSource=WebsiteInternal&amp;conversationId=c6af9137-d274-4c35-8531-2e0b8be1e2c9" TargetMode="External"/><Relationship Id="rId44" Type="http://schemas.openxmlformats.org/officeDocument/2006/relationships/hyperlink" Target="https://1.next.westlaw.com/Document/Iddadf8a5002411eab8aeecdeb6661cf4/View/FullText.html?transitionType=AIGuidedResearch&amp;contextData=%28sc.Default%29&amp;list=All&amp;listSource=WebsiteInternal&amp;conversationId=c6af9137-d274-4c35-8531-2e0b8be1e2c9" TargetMode="External"/><Relationship Id="rId88" Type="http://schemas.openxmlformats.org/officeDocument/2006/relationships/hyperlink" Target="https://1.next.westlaw.com/Document/I3f8e0ba0670011f0a49cfa8a28f74f19/View/FullText.html?transitionType=AIGuidedResearch&amp;contextData=%28sc.Default%29&amp;list=All&amp;listSource=WebsiteInternal&amp;conversationId=c6af9137-d274-4c35-8531-2e0b8be1e2c9" TargetMode="External"/><Relationship Id="rId43" Type="http://schemas.openxmlformats.org/officeDocument/2006/relationships/hyperlink" Target="https://1.next.westlaw.com/Document/Iddadf8ef002411eab8aeecdeb6661cf4/View/FullText.html?transitionType=AIGuidedResearch&amp;contextData=%28sc.Default%29&amp;list=All&amp;listSource=WebsiteInternal&amp;conversationId=c6af9137-d274-4c35-8531-2e0b8be1e2c9" TargetMode="External"/><Relationship Id="rId87" Type="http://schemas.openxmlformats.org/officeDocument/2006/relationships/hyperlink" Target="https://1.next.westlaw.com/Document/I5875af30207711f08e82c540e2374658/View/FullText.html?transitionType=AIGuidedResearch&amp;contextData=%28sc.Default%29&amp;list=All&amp;listSource=WebsiteInternal&amp;conversationId=c6af9137-d274-4c35-8531-2e0b8be1e2c9" TargetMode="External"/><Relationship Id="rId46" Type="http://schemas.openxmlformats.org/officeDocument/2006/relationships/hyperlink" Target="https://1.next.westlaw.com/Document/I39c9ef5d63e411eabcef83564c7863ab/View/FullText.html?transitionType=AIGuidedResearch&amp;contextData=%28sc.Default%29&amp;list=All&amp;listSource=WebsiteInternal&amp;conversationId=c6af9137-d274-4c35-8531-2e0b8be1e2c9" TargetMode="External"/><Relationship Id="rId45" Type="http://schemas.openxmlformats.org/officeDocument/2006/relationships/hyperlink" Target="https://1.next.westlaw.com/Document/I33322fce175f11eabe11e0a012830c99/View/FullText.html?transitionType=AIGuidedResearch&amp;contextData=%28sc.Default%29&amp;list=All&amp;listSource=WebsiteInternal&amp;conversationId=c6af9137-d274-4c35-8531-2e0b8be1e2c9" TargetMode="External"/><Relationship Id="rId89" Type="http://schemas.openxmlformats.org/officeDocument/2006/relationships/hyperlink" Target="https://1.next.westlaw.com/Document/Ibc549ed00e7911f18a15c459ce85e23d/View/FullText.html?transitionType=AIGuidedResearch&amp;contextData=%28sc.Default%29&amp;list=All&amp;listSource=WebsiteInternal&amp;conversationId=c6af9137-d274-4c35-8531-2e0b8be1e2c9" TargetMode="External"/><Relationship Id="rId80" Type="http://schemas.openxmlformats.org/officeDocument/2006/relationships/hyperlink" Target="https://1.next.westlaw.com/Document/If21b9fd6addb11d9880d0000837214a9/View/FullText.html?transitionType=AIGuidedResearch&amp;contextData=%28sc.Default%29&amp;list=All&amp;listSource=WebsiteInternal&amp;conversationId=c6af9137-d274-4c35-8531-2e0b8be1e2c9" TargetMode="External"/><Relationship Id="rId82" Type="http://schemas.openxmlformats.org/officeDocument/2006/relationships/hyperlink" Target="https://1.next.westlaw.com/Document/I2d95b629779c11d98c9fedf223f1c1dc/View/FullText.html?transitionType=AIGuidedResearch&amp;contextData=%28sc.Default%29&amp;list=All&amp;listSource=WebsiteInternal&amp;conversationId=c6af9137-d274-4c35-8531-2e0b8be1e2c9" TargetMode="External"/><Relationship Id="rId81" Type="http://schemas.openxmlformats.org/officeDocument/2006/relationships/hyperlink" Target="https://1.next.westlaw.com/Document/I0ecbe6324b3311dab6d28fcba0bd564c/View/FullText.html?transitionType=AIGuidedResearch&amp;contextData=%28sc.Default%29&amp;list=All&amp;listSource=WebsiteInternal&amp;conversationId=c6af9137-d274-4c35-8531-2e0b8be1e2c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next.westlaw.com/Document/Ie4b011f09c7f11e2a555d241dae65084/View/FullText.html?transitionType=AIGuidedResearch&amp;contextData=%28sc.Default%29&amp;list=All&amp;listSource=WebsiteInternal&amp;conversationId=c6af9137-d274-4c35-8531-2e0b8be1e2c9" TargetMode="External"/><Relationship Id="rId48" Type="http://schemas.openxmlformats.org/officeDocument/2006/relationships/hyperlink" Target="https://1.next.westlaw.com/Document/If21b9fd6addb11d9880d0000837214a9/View/FullText.html?transitionType=AIGuidedResearch&amp;contextData=%28sc.Default%29&amp;list=All&amp;listSource=WebsiteInternal&amp;conversationId=c6af9137-d274-4c35-8531-2e0b8be1e2c9" TargetMode="External"/><Relationship Id="rId47" Type="http://schemas.openxmlformats.org/officeDocument/2006/relationships/hyperlink" Target="https://1.next.westlaw.com/Document/Iddadf8ef002411eab8aeecdeb6661cf4/View/FullText.html?transitionType=AIGuidedResearch&amp;contextData=%28sc.Default%29&amp;list=All&amp;listSource=WebsiteInternal&amp;conversationId=c6af9137-d274-4c35-8531-2e0b8be1e2c9" TargetMode="External"/><Relationship Id="rId49" Type="http://schemas.openxmlformats.org/officeDocument/2006/relationships/hyperlink" Target="https://1.next.westlaw.com/Document/I0ecbe6324b3311dab6d28fcba0bd564c/View/FullText.html?transitionType=AIGuidedResearch&amp;contextData=%28sc.Default%29&amp;list=All&amp;listSource=WebsiteInternal&amp;conversationId=c6af9137-d274-4c35-8531-2e0b8be1e2c9"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8"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73" Type="http://schemas.openxmlformats.org/officeDocument/2006/relationships/hyperlink" Target="https://1.next.westlaw.com/Document/I98aa80dedc5c11e490d4edf60ce7d742/View/FullText.html?transitionType=AIGuidedResearch&amp;contextData=%28sc.Default%29&amp;list=All&amp;listSource=WebsiteInternal&amp;conversationId=c6af9137-d274-4c35-8531-2e0b8be1e2c9" TargetMode="External"/><Relationship Id="rId72" Type="http://schemas.openxmlformats.org/officeDocument/2006/relationships/hyperlink" Target="https://1.next.westlaw.com/Document/I19024f63560411d9a99c85a9e6023ffa/View/FullText.html?transitionType=AIGuidedResearch&amp;contextData=%28sc.Default%29&amp;list=All&amp;listSource=WebsiteInternal&amp;conversationId=c6af9137-d274-4c35-8531-2e0b8be1e2c9" TargetMode="External"/><Relationship Id="rId31" Type="http://schemas.openxmlformats.org/officeDocument/2006/relationships/hyperlink" Target="https://1.next.westlaw.com/Document/I042ccf30a4cb11e5be74e186f6bc2536/View/FullText.html?transitionType=AIGuidedResearch&amp;contextData=%28sc.Default%29&amp;list=All&amp;listSource=WebsiteInternal&amp;conversationId=c6af9137-d274-4c35-8531-2e0b8be1e2c9" TargetMode="External"/><Relationship Id="rId75" Type="http://schemas.openxmlformats.org/officeDocument/2006/relationships/hyperlink" Target="https://1.next.westlaw.com/Document/Iddadf8a5002411eab8aeecdeb6661cf4/View/FullText.html?transitionType=AIGuidedResearch&amp;contextData=%28sc.Default%29&amp;list=All&amp;listSource=WebsiteInternal&amp;conversationId=c6af9137-d274-4c35-8531-2e0b8be1e2c9" TargetMode="External"/><Relationship Id="rId30"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74" Type="http://schemas.openxmlformats.org/officeDocument/2006/relationships/hyperlink" Target="https://1.next.westlaw.com/Document/I7aa00e61541011d997e0acd5cbb90d3f/View/FullText.html?transitionType=AIGuidedResearch&amp;contextData=%28sc.Default%29&amp;list=All&amp;listSource=WebsiteInternal&amp;conversationId=c6af9137-d274-4c35-8531-2e0b8be1e2c9" TargetMode="External"/><Relationship Id="rId33" Type="http://schemas.openxmlformats.org/officeDocument/2006/relationships/hyperlink" Target="https://1.next.westlaw.com/Document/I8f80fdf0be8911e485fcce200174753d/View/FullText.html?transitionType=AIGuidedResearch&amp;contextData=%28sc.Default%29&amp;list=All&amp;listSource=WebsiteInternal&amp;conversationId=c6af9137-d274-4c35-8531-2e0b8be1e2c9" TargetMode="External"/><Relationship Id="rId77" Type="http://schemas.openxmlformats.org/officeDocument/2006/relationships/hyperlink" Target="https://1.next.westlaw.com/Document/I39c9ef5d63e411eabcef83564c7863ab/View/FullText.html?transitionType=AIGuidedResearch&amp;contextData=%28sc.Default%29&amp;list=All&amp;listSource=WebsiteInternal&amp;conversationId=c6af9137-d274-4c35-8531-2e0b8be1e2c9" TargetMode="External"/><Relationship Id="rId32" Type="http://schemas.openxmlformats.org/officeDocument/2006/relationships/hyperlink" Target="https://1.next.westlaw.com/Document/NEC067A20AFF711D8803AE0632FEDDFBF/View/FullText.html?transitionType=AIGuidedResearch&amp;contextData=%28sc.Default%29&amp;list=All&amp;listSource=WebsiteInternal&amp;conversationId=c6af9137-d274-4c35-8531-2e0b8be1e2c9" TargetMode="External"/><Relationship Id="rId76" Type="http://schemas.openxmlformats.org/officeDocument/2006/relationships/hyperlink" Target="https://1.next.westlaw.com/Document/I33320904175f11eabe11e0a012830c99/View/FullText.html?transitionType=AIGuidedResearch&amp;contextData=%28sc.Default%29&amp;list=All&amp;listSource=WebsiteInternal&amp;conversationId=c6af9137-d274-4c35-8531-2e0b8be1e2c9" TargetMode="External"/><Relationship Id="rId35"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79" Type="http://schemas.openxmlformats.org/officeDocument/2006/relationships/hyperlink" Target="https://1.next.westlaw.com/Document/I33322fce175f11eabe11e0a012830c99/View/FullText.html?transitionType=AIGuidedResearch&amp;contextData=%28sc.Default%29&amp;list=All&amp;listSource=WebsiteInternal&amp;conversationId=c6af9137-d274-4c35-8531-2e0b8be1e2c9" TargetMode="External"/><Relationship Id="rId34" Type="http://schemas.openxmlformats.org/officeDocument/2006/relationships/hyperlink" Target="https://1.next.westlaw.com/Document/Iafc637770f7c11e19552c1f5e5d07b6a/View/FullText.html?transitionType=AIGuidedResearch&amp;contextData=%28sc.Default%29&amp;list=All&amp;listSource=WebsiteInternal&amp;conversationId=c6af9137-d274-4c35-8531-2e0b8be1e2c9" TargetMode="External"/><Relationship Id="rId78" Type="http://schemas.openxmlformats.org/officeDocument/2006/relationships/hyperlink" Target="https://1.next.westlaw.com/Document/Iddadf8ef002411eab8aeecdeb6661cf4/View/FullText.html?transitionType=AIGuidedResearch&amp;contextData=%28sc.Default%29&amp;list=All&amp;listSource=WebsiteInternal&amp;conversationId=c6af9137-d274-4c35-8531-2e0b8be1e2c9" TargetMode="External"/><Relationship Id="rId71" Type="http://schemas.openxmlformats.org/officeDocument/2006/relationships/hyperlink" Target="https://1.next.westlaw.com/Document/Iafc637770f7c11e19552c1f5e5d07b6a/View/FullText.html?transitionType=AIGuidedResearch&amp;contextData=%28sc.Default%29&amp;list=All&amp;listSource=WebsiteInternal&amp;conversationId=c6af9137-d274-4c35-8531-2e0b8be1e2c9" TargetMode="External"/><Relationship Id="rId70" Type="http://schemas.openxmlformats.org/officeDocument/2006/relationships/hyperlink" Target="https://1.next.westlaw.com/Document/NEC067A20AFF711D8803AE0632FEDDFBF/View/FullText.html?transitionType=AIGuidedResearch&amp;contextData=%28sc.Default%29&amp;list=All&amp;listSource=WebsiteInternal&amp;conversationId=c6af9137-d274-4c35-8531-2e0b8be1e2c9" TargetMode="External"/><Relationship Id="rId37" Type="http://schemas.openxmlformats.org/officeDocument/2006/relationships/hyperlink" Target="https://1.next.westlaw.com/Document/I889bb6bb565711d9a99c85a9e6023ffa/View/FullText.html?transitionType=AIGuidedResearch&amp;contextData=%28sc.Default%29&amp;list=All&amp;listSource=WebsiteInternal&amp;conversationId=c6af9137-d274-4c35-8531-2e0b8be1e2c9" TargetMode="External"/><Relationship Id="rId36" Type="http://schemas.openxmlformats.org/officeDocument/2006/relationships/hyperlink" Target="https://1.next.westlaw.com/Document/I19024f63560411d9a99c85a9e6023ffa/View/FullText.html?transitionType=AIGuidedResearch&amp;contextData=%28sc.Default%29&amp;list=All&amp;listSource=WebsiteInternal&amp;conversationId=c6af9137-d274-4c35-8531-2e0b8be1e2c9" TargetMode="External"/><Relationship Id="rId39" Type="http://schemas.openxmlformats.org/officeDocument/2006/relationships/hyperlink" Target="https://1.next.westlaw.com/Document/I1f0b30f6366811df9988d233d23fe599/View/FullText.html?transitionType=AIGuidedResearch&amp;contextData=%28sc.Default%29&amp;list=All&amp;listSource=WebsiteInternal&amp;conversationId=c6af9137-d274-4c35-8531-2e0b8be1e2c9" TargetMode="External"/><Relationship Id="rId38" Type="http://schemas.openxmlformats.org/officeDocument/2006/relationships/hyperlink" Target="https://1.next.westlaw.com/Document/I98aa80dedc5c11e490d4edf60ce7d742/View/FullText.html?transitionType=AIGuidedResearch&amp;contextData=%28sc.Default%29&amp;list=All&amp;listSource=WebsiteInternal&amp;conversationId=c6af9137-d274-4c35-8531-2e0b8be1e2c9" TargetMode="External"/><Relationship Id="rId62" Type="http://schemas.openxmlformats.org/officeDocument/2006/relationships/hyperlink" Target="https://1.next.westlaw.com/Document/If929fa5dc41511e093b4f77be4dcecfa/View/FullText.html?transitionType=AIGuidedResearch&amp;contextData=%28sc.Default%29&amp;list=All&amp;listSource=WebsiteInternal&amp;conversationId=c6af9137-d274-4c35-8531-2e0b8be1e2c9" TargetMode="External"/><Relationship Id="rId61" Type="http://schemas.openxmlformats.org/officeDocument/2006/relationships/hyperlink" Target="https://1.next.westlaw.com/Document/Ic1e766b59c1e11d991d0cc6b54f12d4d/View/FullText.html?transitionType=AIGuidedResearch&amp;contextData=%28sc.Default%29&amp;list=All&amp;listSource=WebsiteInternal&amp;conversationId=c6af9137-d274-4c35-8531-2e0b8be1e2c9" TargetMode="External"/><Relationship Id="rId20" Type="http://schemas.openxmlformats.org/officeDocument/2006/relationships/hyperlink" Target="https://1.next.westlaw.com/Document/I22779e2d9a9711e28500bda794601919/View/FullText.html?transitionType=AIGuidedResearch&amp;contextData=%28sc.Default%29&amp;list=All&amp;listSource=WebsiteInternal&amp;conversationId=c6af9137-d274-4c35-8531-2e0b8be1e2c9" TargetMode="External"/><Relationship Id="rId64" Type="http://schemas.openxmlformats.org/officeDocument/2006/relationships/hyperlink" Target="https://1.next.westlaw.com/Document/I318fc9199c2511d9bdd1cfdd544ca3a4/View/FullText.html?transitionType=AIGuidedResearch&amp;contextData=%28sc.Default%29&amp;list=All&amp;listSource=WebsiteInternal&amp;conversationId=c6af9137-d274-4c35-8531-2e0b8be1e2c9" TargetMode="External"/><Relationship Id="rId63" Type="http://schemas.openxmlformats.org/officeDocument/2006/relationships/hyperlink" Target="https://1.next.westlaw.com/Document/NFBFA2FD0AFF711D8803AE0632FEDDFBF/View/FullText.html?transitionType=AIGuidedResearch&amp;contextData=%28sc.Default%29&amp;list=All&amp;listSource=WebsiteInternal&amp;conversationId=c6af9137-d274-4c35-8531-2e0b8be1e2c9" TargetMode="External"/><Relationship Id="rId22" Type="http://schemas.openxmlformats.org/officeDocument/2006/relationships/hyperlink" Target="https://1.next.westlaw.com/Document/I889bb6bb565711d9a99c85a9e6023ffa/View/FullText.html?transitionType=AIGuidedResearch&amp;contextData=%28sc.Default%29&amp;list=All&amp;listSource=WebsiteInternal&amp;conversationId=c6af9137-d274-4c35-8531-2e0b8be1e2c9" TargetMode="External"/><Relationship Id="rId66" Type="http://schemas.openxmlformats.org/officeDocument/2006/relationships/hyperlink" Target="https://1.next.westlaw.com/Document/I889bb6bb565711d9a99c85a9e6023ffa/View/FullText.html?transitionType=AIGuidedResearch&amp;contextData=%28sc.Default%29&amp;list=All&amp;listSource=WebsiteInternal&amp;conversationId=c6af9137-d274-4c35-8531-2e0b8be1e2c9" TargetMode="External"/><Relationship Id="rId21" Type="http://schemas.openxmlformats.org/officeDocument/2006/relationships/hyperlink" Target="https://1.next.westlaw.com/Document/I22779e2d9a9711e28500bda794601919/View/FullText.html?transitionType=AIGuidedResearch&amp;contextData=%28sc.Default%29&amp;list=All&amp;listSource=WebsiteInternal&amp;conversationId=c6af9137-d274-4c35-8531-2e0b8be1e2c9" TargetMode="External"/><Relationship Id="rId65" Type="http://schemas.openxmlformats.org/officeDocument/2006/relationships/hyperlink" Target="https://1.next.westlaw.com/Document/I22779e2d9a9711e28500bda794601919/View/FullText.html?transitionType=AIGuidedResearch&amp;contextData=%28sc.Default%29&amp;list=All&amp;listSource=WebsiteInternal&amp;conversationId=c6af9137-d274-4c35-8531-2e0b8be1e2c9" TargetMode="External"/><Relationship Id="rId24" Type="http://schemas.openxmlformats.org/officeDocument/2006/relationships/hyperlink" Target="https://1.next.westlaw.com/Document/I8f80fdf0be8911e485fcce200174753d/View/FullText.html?transitionType=AIGuidedResearch&amp;contextData=%28sc.Default%29&amp;list=All&amp;listSource=WebsiteInternal&amp;conversationId=c6af9137-d274-4c35-8531-2e0b8be1e2c9" TargetMode="External"/><Relationship Id="rId68" Type="http://schemas.openxmlformats.org/officeDocument/2006/relationships/hyperlink" Target="https://1.next.westlaw.com/Document/I1f0b30f6366811df9988d233d23fe599/View/FullText.html?transitionType=AIGuidedResearch&amp;contextData=%28sc.Default%29&amp;list=All&amp;listSource=WebsiteInternal&amp;conversationId=c6af9137-d274-4c35-8531-2e0b8be1e2c9" TargetMode="External"/><Relationship Id="rId23" Type="http://schemas.openxmlformats.org/officeDocument/2006/relationships/hyperlink" Target="https://1.next.westlaw.com/Document/I889bb6bb565711d9a99c85a9e6023ffa/View/FullText.html?transitionType=AIGuidedResearch&amp;contextData=%28sc.Default%29&amp;list=All&amp;listSource=WebsiteInternal&amp;conversationId=c6af9137-d274-4c35-8531-2e0b8be1e2c9" TargetMode="External"/><Relationship Id="rId67" Type="http://schemas.openxmlformats.org/officeDocument/2006/relationships/hyperlink" Target="https://1.next.westlaw.com/Document/I8f80fdf0be8911e485fcce200174753d/View/FullText.html?transitionType=AIGuidedResearch&amp;contextData=%28sc.Default%29&amp;list=All&amp;listSource=WebsiteInternal&amp;conversationId=c6af9137-d274-4c35-8531-2e0b8be1e2c9" TargetMode="External"/><Relationship Id="rId60"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26"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25" Type="http://schemas.openxmlformats.org/officeDocument/2006/relationships/hyperlink" Target="https://1.next.westlaw.com/Document/I8f80fdf0be8911e485fcce200174753d/View/FullText.html?transitionType=AIGuidedResearch&amp;contextData=%28sc.Default%29&amp;list=All&amp;listSource=WebsiteInternal&amp;conversationId=c6af9137-d274-4c35-8531-2e0b8be1e2c9" TargetMode="External"/><Relationship Id="rId69" Type="http://schemas.openxmlformats.org/officeDocument/2006/relationships/hyperlink" Target="https://1.next.westlaw.com/Document/I042ccf30a4cb11e5be74e186f6bc2536/View/FullText.html?transitionType=AIGuidedResearch&amp;contextData=%28sc.Default%29&amp;list=All&amp;listSource=WebsiteInternal&amp;conversationId=c6af9137-d274-4c35-8531-2e0b8be1e2c9" TargetMode="External"/><Relationship Id="rId28" Type="http://schemas.openxmlformats.org/officeDocument/2006/relationships/hyperlink" Target="https://1.next.westlaw.com/Document/I1f0b30f6366811df9988d233d23fe599/View/FullText.html?transitionType=AIGuidedResearch&amp;contextData=%28sc.Default%29&amp;list=All&amp;listSource=WebsiteInternal&amp;conversationId=c6af9137-d274-4c35-8531-2e0b8be1e2c9" TargetMode="External"/><Relationship Id="rId27"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29" Type="http://schemas.openxmlformats.org/officeDocument/2006/relationships/hyperlink" Target="https://1.next.westlaw.com/Document/I1f0b30f6366811df9988d233d23fe599/View/FullText.html?transitionType=AIGuidedResearch&amp;contextData=%28sc.Default%29&amp;list=All&amp;listSource=WebsiteInternal&amp;conversationId=c6af9137-d274-4c35-8531-2e0b8be1e2c9" TargetMode="External"/><Relationship Id="rId51" Type="http://schemas.openxmlformats.org/officeDocument/2006/relationships/hyperlink" Target="https://1.next.westlaw.com/Document/I866411cbd7ac11e5ae1980fc01495511/View/FullText.html?transitionType=AIGuidedResearch&amp;contextData=%28sc.Default%29&amp;list=All&amp;listSource=WebsiteInternal&amp;conversationId=c6af9137-d274-4c35-8531-2e0b8be1e2c9" TargetMode="External"/><Relationship Id="rId50" Type="http://schemas.openxmlformats.org/officeDocument/2006/relationships/hyperlink" Target="https://1.next.westlaw.com/Document/I2d95b629779c11d98c9fedf223f1c1dc/View/FullText.html?transitionType=AIGuidedResearch&amp;contextData=%28sc.Default%29&amp;list=All&amp;listSource=WebsiteInternal&amp;conversationId=c6af9137-d274-4c35-8531-2e0b8be1e2c9" TargetMode="External"/><Relationship Id="rId53" Type="http://schemas.openxmlformats.org/officeDocument/2006/relationships/hyperlink" Target="https://1.next.westlaw.com/Document/I710bf1e4b02f11d997b78566ed1d337f/View/FullText.html?transitionType=AIGuidedResearch&amp;contextData=%28sc.Default%29&amp;list=All&amp;listSource=WebsiteInternal&amp;conversationId=c6af9137-d274-4c35-8531-2e0b8be1e2c9" TargetMode="External"/><Relationship Id="rId52" Type="http://schemas.openxmlformats.org/officeDocument/2006/relationships/hyperlink" Target="https://1.next.westlaw.com/Document/Ieb4e7ef510f911e6b3f6f45d373f0b7c/View/FullText.html?transitionType=AIGuidedResearch&amp;contextData=%28sc.Default%29&amp;list=All&amp;listSource=WebsiteInternal&amp;conversationId=c6af9137-d274-4c35-8531-2e0b8be1e2c9" TargetMode="External"/><Relationship Id="rId11"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55" Type="http://schemas.openxmlformats.org/officeDocument/2006/relationships/hyperlink" Target="https://1.next.westlaw.com/Document/I5875af30207711f08e82c540e2374658/View/FullText.html?transitionType=AIGuidedResearch&amp;contextData=%28sc.Default%29&amp;list=All&amp;listSource=WebsiteInternal&amp;conversationId=c6af9137-d274-4c35-8531-2e0b8be1e2c9" TargetMode="External"/><Relationship Id="rId10"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54" Type="http://schemas.openxmlformats.org/officeDocument/2006/relationships/hyperlink" Target="https://1.next.westlaw.com/Document/I2d94f2ec779c11d98c9fedf223f1c1dc/View/FullText.html?transitionType=AIGuidedResearch&amp;contextData=%28sc.Default%29&amp;list=All&amp;listSource=WebsiteInternal&amp;conversationId=c6af9137-d274-4c35-8531-2e0b8be1e2c9" TargetMode="External"/><Relationship Id="rId13"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57" Type="http://schemas.openxmlformats.org/officeDocument/2006/relationships/hyperlink" Target="https://1.next.westlaw.com/Document/Ibc549ed00e7911f18a15c459ce85e23d/View/FullText.html?transitionType=AIGuidedResearch&amp;contextData=%28sc.Default%29&amp;list=All&amp;listSource=WebsiteInternal&amp;conversationId=c6af9137-d274-4c35-8531-2e0b8be1e2c9" TargetMode="External"/><Relationship Id="rId12" Type="http://schemas.openxmlformats.org/officeDocument/2006/relationships/hyperlink" Target="https://1.next.westlaw.com/Document/Ide692ccd522011df9988d233d23fe599/View/FullText.html?transitionType=AIGuidedResearch&amp;contextData=%28sc.Default%29&amp;list=All&amp;listSource=WebsiteInternal&amp;conversationId=c6af9137-d274-4c35-8531-2e0b8be1e2c9" TargetMode="External"/><Relationship Id="rId56" Type="http://schemas.openxmlformats.org/officeDocument/2006/relationships/hyperlink" Target="https://1.next.westlaw.com/Document/I3f8e0ba0670011f0a49cfa8a28f74f19/View/FullText.html?transitionType=AIGuidedResearch&amp;contextData=%28sc.Default%29&amp;list=All&amp;listSource=WebsiteInternal&amp;conversationId=c6af9137-d274-4c35-8531-2e0b8be1e2c9" TargetMode="External"/><Relationship Id="rId91" Type="http://schemas.openxmlformats.org/officeDocument/2006/relationships/footer" Target="footer2.xml"/><Relationship Id="rId90" Type="http://schemas.openxmlformats.org/officeDocument/2006/relationships/header" Target="header1.xml"/><Relationship Id="rId92" Type="http://schemas.openxmlformats.org/officeDocument/2006/relationships/footer" Target="footer1.xml"/><Relationship Id="rId15" Type="http://schemas.openxmlformats.org/officeDocument/2006/relationships/hyperlink" Target="https://1.next.westlaw.com/Document/Ic1e766b59c1e11d991d0cc6b54f12d4d/View/FullText.html?transitionType=AIGuidedResearch&amp;contextData=%28sc.Default%29&amp;list=All&amp;listSource=WebsiteInternal&amp;conversationId=c6af9137-d274-4c35-8531-2e0b8be1e2c9" TargetMode="External"/><Relationship Id="rId59" Type="http://schemas.openxmlformats.org/officeDocument/2006/relationships/hyperlink" Target="https://1.next.westlaw.com/Document/Ie4b011f09c7f11e2a555d241dae65084/View/FullText.html?transitionType=AIGuidedResearch&amp;contextData=%28sc.Default%29&amp;list=All&amp;listSource=WebsiteInternal&amp;conversationId=c6af9137-d274-4c35-8531-2e0b8be1e2c9" TargetMode="External"/><Relationship Id="rId14"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58" Type="http://schemas.openxmlformats.org/officeDocument/2006/relationships/hyperlink" Target="https://1.next.westlaw.com/Document/N00AA9880AFF811D8803AE0632FEDDFBF/View/FullText.html?transitionType=AIGuidedResearch&amp;contextData=%28sc.Default%29&amp;list=All&amp;listSource=WebsiteInternal&amp;conversationId=c6af9137-d274-4c35-8531-2e0b8be1e2c9" TargetMode="External"/><Relationship Id="rId17" Type="http://schemas.openxmlformats.org/officeDocument/2006/relationships/hyperlink" Target="https://1.next.westlaw.com/Document/If929fa5dc41511e093b4f77be4dcecfa/View/FullText.html?transitionType=AIGuidedResearch&amp;contextData=%28sc.Default%29&amp;list=All&amp;listSource=WebsiteInternal&amp;conversationId=c6af9137-d274-4c35-8531-2e0b8be1e2c9" TargetMode="External"/><Relationship Id="rId16" Type="http://schemas.openxmlformats.org/officeDocument/2006/relationships/hyperlink" Target="https://1.next.westlaw.com/Document/If929fa5dc41511e093b4f77be4dcecfa/View/FullText.html?transitionType=AIGuidedResearch&amp;contextData=%28sc.Default%29&amp;list=All&amp;listSource=WebsiteInternal&amp;conversationId=c6af9137-d274-4c35-8531-2e0b8be1e2c9" TargetMode="External"/><Relationship Id="rId19" Type="http://schemas.openxmlformats.org/officeDocument/2006/relationships/hyperlink" Target="https://1.next.westlaw.com/Document/I318fc9199c2511d9bdd1cfdd544ca3a4/View/FullText.html?transitionType=AIGuidedResearch&amp;contextData=%28sc.Default%29&amp;list=All&amp;listSource=WebsiteInternal&amp;conversationId=c6af9137-d274-4c35-8531-2e0b8be1e2c9" TargetMode="External"/><Relationship Id="rId18" Type="http://schemas.openxmlformats.org/officeDocument/2006/relationships/hyperlink" Target="https://1.next.westlaw.com/Document/NFBFA2FD0AFF711D8803AE0632FEDDFBF/View/FullText.html?transitionType=AIGuidedResearch&amp;contextData=%28sc.Default%29&amp;list=All&amp;listSource=WebsiteInternal&amp;conversationId=c6af9137-d274-4c35-8531-2e0b8be1e2c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