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939D" w14:textId="77777777" w:rsidR="006F3956" w:rsidRDefault="00000000">
      <w:pPr>
        <w:widowControl/>
        <w:spacing w:after="200" w:line="360" w:lineRule="auto"/>
        <w:ind w:firstLineChars="229" w:firstLine="481"/>
        <w:jc w:val="left"/>
        <w:outlineLvl w:val="0"/>
        <w:rPr>
          <w:rFonts w:ascii="黑体" w:eastAsia="黑体" w:hAnsi="宋体" w:cs="Times New Roman"/>
          <w:b/>
          <w:kern w:val="0"/>
          <w:sz w:val="32"/>
          <w:szCs w:val="32"/>
        </w:rPr>
      </w:pPr>
      <w:r>
        <w:rPr>
          <w:rFonts w:ascii="等线" w:eastAsia="等线" w:hAnsi="等线" w:cs="Times New Roman" w:hint="eastAsia"/>
          <w:noProof/>
          <w:szCs w:val="21"/>
          <w:lang w:bidi="ar"/>
        </w:rPr>
        <w:drawing>
          <wp:inline distT="0" distB="0" distL="114300" distR="114300" wp14:anchorId="218C8257" wp14:editId="2670F728">
            <wp:extent cx="1264920" cy="126492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5"/>
                    <a:stretch>
                      <a:fillRect/>
                    </a:stretch>
                  </pic:blipFill>
                  <pic:spPr>
                    <a:xfrm>
                      <a:off x="0" y="0"/>
                      <a:ext cx="1264920" cy="1264920"/>
                    </a:xfrm>
                    <a:prstGeom prst="rect">
                      <a:avLst/>
                    </a:prstGeom>
                    <a:noFill/>
                    <a:ln>
                      <a:noFill/>
                    </a:ln>
                  </pic:spPr>
                </pic:pic>
              </a:graphicData>
            </a:graphic>
          </wp:inline>
        </w:drawing>
      </w:r>
      <w:r>
        <w:rPr>
          <w:rFonts w:ascii="黑体" w:eastAsia="黑体" w:hAnsi="宋体" w:cs="Times New Roman" w:hint="eastAsia"/>
          <w:b/>
          <w:kern w:val="0"/>
          <w:sz w:val="32"/>
          <w:szCs w:val="32"/>
          <w:lang w:bidi="ar"/>
        </w:rPr>
        <w:t xml:space="preserve">   </w:t>
      </w:r>
      <w:r>
        <w:rPr>
          <w:rFonts w:ascii="等线" w:eastAsia="等线" w:hAnsi="等线" w:cs="Times New Roman" w:hint="eastAsia"/>
          <w:noProof/>
          <w:szCs w:val="21"/>
          <w:lang w:bidi="ar"/>
        </w:rPr>
        <w:drawing>
          <wp:inline distT="0" distB="0" distL="114300" distR="114300" wp14:anchorId="56C6922C" wp14:editId="1AE27741">
            <wp:extent cx="3086100" cy="140208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086100" cy="1402080"/>
                    </a:xfrm>
                    <a:prstGeom prst="rect">
                      <a:avLst/>
                    </a:prstGeom>
                    <a:noFill/>
                    <a:ln>
                      <a:noFill/>
                    </a:ln>
                  </pic:spPr>
                </pic:pic>
              </a:graphicData>
            </a:graphic>
          </wp:inline>
        </w:drawing>
      </w:r>
    </w:p>
    <w:p w14:paraId="716EDF66" w14:textId="77777777" w:rsidR="006F3956" w:rsidRDefault="00000000">
      <w:pPr>
        <w:jc w:val="center"/>
        <w:rPr>
          <w:rFonts w:ascii="微软雅黑" w:eastAsia="微软雅黑" w:hAnsi="微软雅黑" w:cs="Times New Roman"/>
          <w:b/>
          <w:bCs/>
          <w:sz w:val="22"/>
        </w:rPr>
      </w:pPr>
      <w:r>
        <w:rPr>
          <w:rFonts w:ascii="微软雅黑" w:eastAsia="微软雅黑" w:hAnsi="微软雅黑" w:cs="Times New Roman" w:hint="eastAsia"/>
          <w:b/>
          <w:bCs/>
          <w:sz w:val="22"/>
          <w:lang w:bidi="ar"/>
        </w:rPr>
        <w:t xml:space="preserve"> </w:t>
      </w:r>
    </w:p>
    <w:p w14:paraId="457D4570" w14:textId="77777777" w:rsidR="006F3956" w:rsidRDefault="00000000">
      <w:pPr>
        <w:jc w:val="center"/>
        <w:rPr>
          <w:rFonts w:ascii="微软雅黑" w:eastAsia="微软雅黑" w:hAnsi="微软雅黑" w:cs="Times New Roman"/>
          <w:b/>
          <w:bCs/>
          <w:sz w:val="22"/>
        </w:rPr>
      </w:pPr>
      <w:r>
        <w:rPr>
          <w:rFonts w:ascii="微软雅黑" w:eastAsia="微软雅黑" w:hAnsi="微软雅黑" w:cs="Times New Roman" w:hint="eastAsia"/>
          <w:b/>
          <w:bCs/>
          <w:sz w:val="22"/>
          <w:lang w:bidi="ar"/>
        </w:rPr>
        <w:t xml:space="preserve"> </w:t>
      </w:r>
    </w:p>
    <w:p w14:paraId="71DDBD6A" w14:textId="760C6F6D" w:rsidR="006F3956" w:rsidRDefault="00000000">
      <w:pPr>
        <w:jc w:val="center"/>
        <w:rPr>
          <w:rFonts w:ascii="微软雅黑" w:eastAsia="微软雅黑" w:hAnsi="微软雅黑" w:cs="Times New Roman"/>
          <w:b/>
          <w:bCs/>
          <w:sz w:val="72"/>
          <w:szCs w:val="72"/>
        </w:rPr>
      </w:pPr>
      <w:r>
        <w:rPr>
          <w:rFonts w:ascii="微软雅黑" w:eastAsia="微软雅黑" w:hAnsi="微软雅黑" w:cs="Times New Roman" w:hint="eastAsia"/>
          <w:b/>
          <w:bCs/>
          <w:sz w:val="72"/>
          <w:szCs w:val="72"/>
          <w:lang w:bidi="ar"/>
        </w:rPr>
        <w:t>《</w:t>
      </w:r>
      <w:r w:rsidR="00081319">
        <w:rPr>
          <w:rFonts w:ascii="微软雅黑" w:eastAsia="微软雅黑" w:hAnsi="微软雅黑" w:cs="Times New Roman" w:hint="eastAsia"/>
          <w:b/>
          <w:bCs/>
          <w:sz w:val="72"/>
          <w:szCs w:val="72"/>
          <w:lang w:bidi="ar"/>
        </w:rPr>
        <w:t>学理论，传精神</w:t>
      </w:r>
      <w:r>
        <w:rPr>
          <w:rFonts w:ascii="微软雅黑" w:eastAsia="微软雅黑" w:hAnsi="微软雅黑" w:cs="Times New Roman" w:hint="eastAsia"/>
          <w:b/>
          <w:bCs/>
          <w:sz w:val="72"/>
          <w:szCs w:val="72"/>
          <w:lang w:bidi="ar"/>
        </w:rPr>
        <w:t xml:space="preserve">》 </w:t>
      </w:r>
    </w:p>
    <w:p w14:paraId="62B882A4" w14:textId="77777777" w:rsidR="006F3956" w:rsidRDefault="00000000">
      <w:pPr>
        <w:spacing w:line="480" w:lineRule="auto"/>
        <w:jc w:val="center"/>
        <w:rPr>
          <w:rFonts w:ascii="Calibri" w:eastAsia="宋体" w:hAnsi="Calibri" w:cs="Times New Roman"/>
          <w:b/>
          <w:bCs/>
          <w:sz w:val="28"/>
          <w:szCs w:val="28"/>
        </w:rPr>
      </w:pPr>
      <w:r>
        <w:rPr>
          <w:rFonts w:ascii="Calibri" w:eastAsia="宋体" w:hAnsi="Calibri" w:cs="Times New Roman"/>
          <w:b/>
          <w:bCs/>
          <w:sz w:val="28"/>
          <w:szCs w:val="28"/>
          <w:lang w:bidi="ar"/>
        </w:rPr>
        <w:t xml:space="preserve"> </w:t>
      </w:r>
    </w:p>
    <w:p w14:paraId="5B78C696" w14:textId="77777777" w:rsidR="006F3956" w:rsidRDefault="00000000">
      <w:pPr>
        <w:spacing w:line="480" w:lineRule="auto"/>
        <w:jc w:val="center"/>
        <w:rPr>
          <w:rFonts w:ascii="Calibri" w:eastAsia="宋体" w:hAnsi="Calibri" w:cs="Times New Roman"/>
          <w:b/>
          <w:bCs/>
          <w:sz w:val="28"/>
          <w:szCs w:val="28"/>
        </w:rPr>
      </w:pPr>
      <w:r>
        <w:rPr>
          <w:rFonts w:ascii="Calibri" w:eastAsia="宋体" w:hAnsi="Calibri" w:cs="Times New Roman"/>
          <w:b/>
          <w:bCs/>
          <w:sz w:val="28"/>
          <w:szCs w:val="28"/>
          <w:lang w:bidi="ar"/>
        </w:rPr>
        <w:t xml:space="preserve"> </w:t>
      </w:r>
    </w:p>
    <w:p w14:paraId="43674FBE" w14:textId="77777777" w:rsidR="006F3956" w:rsidRDefault="00000000">
      <w:pPr>
        <w:jc w:val="cente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6D6B1166" w14:textId="77777777" w:rsidR="006F3956" w:rsidRDefault="00000000">
      <w:pP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3F876D0B" w14:textId="77777777" w:rsidR="006F3956" w:rsidRDefault="00000000">
      <w:pP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496F038E" w14:textId="6C267B35" w:rsidR="006F3956" w:rsidRDefault="00000000">
      <w:pPr>
        <w:ind w:leftChars="246" w:left="3717" w:hangingChars="1000" w:hanging="3200"/>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题    目：</w:t>
      </w:r>
      <w:r w:rsidR="00DF09E4" w:rsidRPr="00DF09E4">
        <w:rPr>
          <w:rFonts w:ascii="微软雅黑" w:eastAsia="微软雅黑" w:hAnsi="微软雅黑" w:cs="Times New Roman" w:hint="eastAsia"/>
          <w:bCs/>
          <w:sz w:val="28"/>
          <w:szCs w:val="28"/>
          <w:u w:val="single"/>
          <w:lang w:bidi="ar"/>
        </w:rPr>
        <w:t>历史周期律的破解之道：从窑洞对话到新时代思考</w:t>
      </w:r>
      <w:r>
        <w:rPr>
          <w:rFonts w:ascii="微软雅黑" w:eastAsia="微软雅黑" w:hAnsi="微软雅黑" w:cs="Times New Roman" w:hint="eastAsia"/>
          <w:bCs/>
          <w:sz w:val="32"/>
          <w:szCs w:val="32"/>
          <w:u w:val="single"/>
          <w:lang w:bidi="ar"/>
        </w:rPr>
        <w:t xml:space="preserve">  </w:t>
      </w:r>
    </w:p>
    <w:p w14:paraId="42E84025" w14:textId="23E11A3B" w:rsidR="006F3956" w:rsidRDefault="00000000">
      <w:pPr>
        <w:ind w:leftChars="246" w:left="3717" w:hangingChars="1000" w:hanging="3200"/>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姓    名：</w:t>
      </w:r>
      <w:r>
        <w:rPr>
          <w:rFonts w:ascii="微软雅黑" w:eastAsia="微软雅黑" w:hAnsi="微软雅黑" w:cs="Times New Roman" w:hint="eastAsia"/>
          <w:bCs/>
          <w:sz w:val="32"/>
          <w:szCs w:val="32"/>
          <w:u w:val="single"/>
          <w:lang w:bidi="ar"/>
        </w:rPr>
        <w:t xml:space="preserve">    </w:t>
      </w:r>
      <w:r w:rsidR="00081319">
        <w:rPr>
          <w:rFonts w:ascii="微软雅黑" w:eastAsia="微软雅黑" w:hAnsi="微软雅黑" w:cs="Times New Roman" w:hint="eastAsia"/>
          <w:bCs/>
          <w:sz w:val="32"/>
          <w:szCs w:val="32"/>
          <w:u w:val="single"/>
          <w:lang w:bidi="ar"/>
        </w:rPr>
        <w:t xml:space="preserve">          </w:t>
      </w:r>
      <w:r>
        <w:rPr>
          <w:rFonts w:ascii="微软雅黑" w:eastAsia="微软雅黑" w:hAnsi="微软雅黑" w:cs="Times New Roman" w:hint="eastAsia"/>
          <w:bCs/>
          <w:sz w:val="32"/>
          <w:szCs w:val="32"/>
          <w:u w:val="single"/>
          <w:lang w:bidi="ar"/>
        </w:rPr>
        <w:t xml:space="preserve">     </w:t>
      </w:r>
      <w:r w:rsidR="00081319">
        <w:rPr>
          <w:rFonts w:ascii="微软雅黑" w:eastAsia="微软雅黑" w:hAnsi="微软雅黑" w:cs="Times New Roman" w:hint="eastAsia"/>
          <w:bCs/>
          <w:sz w:val="32"/>
          <w:szCs w:val="32"/>
          <w:u w:val="single"/>
          <w:lang w:bidi="ar"/>
        </w:rPr>
        <w:t xml:space="preserve"> </w:t>
      </w:r>
      <w:r>
        <w:rPr>
          <w:rFonts w:ascii="微软雅黑" w:eastAsia="微软雅黑" w:hAnsi="微软雅黑" w:cs="Times New Roman" w:hint="eastAsia"/>
          <w:bCs/>
          <w:sz w:val="32"/>
          <w:szCs w:val="32"/>
          <w:u w:val="single"/>
          <w:lang w:bidi="ar"/>
        </w:rPr>
        <w:t xml:space="preserve">            </w:t>
      </w:r>
    </w:p>
    <w:p w14:paraId="62F191F2" w14:textId="0DB81FFB"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学    号：</w:t>
      </w:r>
      <w:r>
        <w:rPr>
          <w:rFonts w:ascii="微软雅黑" w:eastAsia="微软雅黑" w:hAnsi="微软雅黑" w:cs="Times New Roman" w:hint="eastAsia"/>
          <w:bCs/>
          <w:sz w:val="32"/>
          <w:szCs w:val="32"/>
          <w:u w:val="single"/>
          <w:lang w:bidi="ar"/>
        </w:rPr>
        <w:t xml:space="preserve">        </w:t>
      </w:r>
      <w:r w:rsidR="00081319">
        <w:rPr>
          <w:rFonts w:ascii="微软雅黑" w:eastAsia="微软雅黑" w:hAnsi="微软雅黑" w:cs="Times New Roman" w:hint="eastAsia"/>
          <w:bCs/>
          <w:sz w:val="32"/>
          <w:szCs w:val="32"/>
          <w:u w:val="single"/>
          <w:lang w:bidi="ar"/>
        </w:rPr>
        <w:t xml:space="preserve">     </w:t>
      </w:r>
      <w:r>
        <w:rPr>
          <w:rFonts w:ascii="微软雅黑" w:eastAsia="微软雅黑" w:hAnsi="微软雅黑" w:cs="Times New Roman" w:hint="eastAsia"/>
          <w:bCs/>
          <w:sz w:val="32"/>
          <w:szCs w:val="32"/>
          <w:u w:val="single"/>
          <w:lang w:bidi="ar"/>
        </w:rPr>
        <w:t xml:space="preserve">               </w:t>
      </w:r>
    </w:p>
    <w:p w14:paraId="6878EE31" w14:textId="6BAF8BCA" w:rsidR="006F3956" w:rsidRDefault="00000000">
      <w:pPr>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 xml:space="preserve">   年级专业：</w:t>
      </w:r>
      <w:r>
        <w:rPr>
          <w:rFonts w:ascii="微软雅黑" w:eastAsia="微软雅黑" w:hAnsi="微软雅黑" w:cs="Times New Roman" w:hint="eastAsia"/>
          <w:bCs/>
          <w:sz w:val="32"/>
          <w:szCs w:val="32"/>
          <w:u w:val="single"/>
          <w:lang w:bidi="ar"/>
        </w:rPr>
        <w:t xml:space="preserve">                 </w:t>
      </w:r>
    </w:p>
    <w:p w14:paraId="0256C29E" w14:textId="4892B9A5"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联系方式：</w:t>
      </w:r>
      <w:r>
        <w:rPr>
          <w:rFonts w:ascii="微软雅黑" w:eastAsia="微软雅黑" w:hAnsi="微软雅黑" w:cs="Times New Roman" w:hint="eastAsia"/>
          <w:bCs/>
          <w:sz w:val="32"/>
          <w:szCs w:val="32"/>
          <w:u w:val="single"/>
          <w:lang w:bidi="ar"/>
        </w:rPr>
        <w:t xml:space="preserve"> </w:t>
      </w:r>
      <w:r w:rsidR="00081319">
        <w:rPr>
          <w:rFonts w:ascii="微软雅黑" w:eastAsia="微软雅黑" w:hAnsi="微软雅黑" w:cs="Times New Roman" w:hint="eastAsia"/>
          <w:bCs/>
          <w:sz w:val="32"/>
          <w:szCs w:val="32"/>
          <w:u w:val="single"/>
          <w:lang w:bidi="ar"/>
        </w:rPr>
        <w:t xml:space="preserve">            </w:t>
      </w:r>
      <w:r>
        <w:rPr>
          <w:rFonts w:ascii="微软雅黑" w:eastAsia="微软雅黑" w:hAnsi="微软雅黑" w:cs="Times New Roman" w:hint="eastAsia"/>
          <w:bCs/>
          <w:sz w:val="32"/>
          <w:szCs w:val="32"/>
          <w:u w:val="single"/>
          <w:lang w:bidi="ar"/>
        </w:rPr>
        <w:t xml:space="preserve">             </w:t>
      </w:r>
    </w:p>
    <w:p w14:paraId="5574E1B1" w14:textId="3FE8D31F"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指导老师：</w:t>
      </w:r>
      <w:r>
        <w:rPr>
          <w:rFonts w:ascii="微软雅黑" w:eastAsia="微软雅黑" w:hAnsi="微软雅黑" w:cs="Times New Roman" w:hint="eastAsia"/>
          <w:bCs/>
          <w:sz w:val="32"/>
          <w:szCs w:val="32"/>
          <w:u w:val="single"/>
          <w:lang w:bidi="ar"/>
        </w:rPr>
        <w:t xml:space="preserve">         </w:t>
      </w:r>
      <w:r w:rsidR="00081319">
        <w:rPr>
          <w:rFonts w:ascii="微软雅黑" w:eastAsia="微软雅黑" w:hAnsi="微软雅黑" w:cs="Times New Roman" w:hint="eastAsia"/>
          <w:bCs/>
          <w:sz w:val="32"/>
          <w:szCs w:val="32"/>
          <w:u w:val="single"/>
          <w:lang w:bidi="ar"/>
        </w:rPr>
        <w:t xml:space="preserve">      </w:t>
      </w:r>
      <w:r>
        <w:rPr>
          <w:rFonts w:ascii="微软雅黑" w:eastAsia="微软雅黑" w:hAnsi="微软雅黑" w:cs="Times New Roman" w:hint="eastAsia"/>
          <w:bCs/>
          <w:sz w:val="32"/>
          <w:szCs w:val="32"/>
          <w:u w:val="single"/>
          <w:lang w:bidi="ar"/>
        </w:rPr>
        <w:t xml:space="preserve">                  </w:t>
      </w:r>
      <w:r w:rsidR="00081319">
        <w:rPr>
          <w:rFonts w:ascii="微软雅黑" w:eastAsia="微软雅黑" w:hAnsi="微软雅黑" w:cs="Times New Roman" w:hint="eastAsia"/>
          <w:bCs/>
          <w:sz w:val="32"/>
          <w:szCs w:val="32"/>
          <w:u w:val="single"/>
          <w:lang w:bidi="ar"/>
        </w:rPr>
        <w:t xml:space="preserve"> </w:t>
      </w:r>
      <w:r>
        <w:rPr>
          <w:rFonts w:ascii="微软雅黑" w:eastAsia="微软雅黑" w:hAnsi="微软雅黑" w:cs="Times New Roman" w:hint="eastAsia"/>
          <w:bCs/>
          <w:sz w:val="32"/>
          <w:szCs w:val="32"/>
          <w:u w:val="single"/>
          <w:lang w:bidi="ar"/>
        </w:rPr>
        <w:t xml:space="preserve"> </w:t>
      </w:r>
    </w:p>
    <w:p w14:paraId="00032949" w14:textId="77777777" w:rsidR="006F3956" w:rsidRDefault="00000000">
      <w:pPr>
        <w:rPr>
          <w:rFonts w:ascii="等线" w:eastAsia="等线" w:hAnsi="等线" w:cs="Times New Roman"/>
          <w:szCs w:val="21"/>
        </w:rPr>
      </w:pPr>
      <w:r>
        <w:rPr>
          <w:rFonts w:ascii="等线" w:eastAsia="等线" w:hAnsi="等线" w:cs="Times New Roman" w:hint="eastAsia"/>
          <w:szCs w:val="21"/>
          <w:lang w:bidi="ar"/>
        </w:rPr>
        <w:t xml:space="preserve"> </w:t>
      </w:r>
    </w:p>
    <w:p w14:paraId="145381CE" w14:textId="77777777"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w:t>
      </w:r>
    </w:p>
    <w:p w14:paraId="62A77CB9" w14:textId="77777777" w:rsidR="006F3956" w:rsidRDefault="006F3956">
      <w:pPr>
        <w:jc w:val="center"/>
        <w:rPr>
          <w:rFonts w:ascii="宋体" w:eastAsia="宋体" w:hAnsi="宋体"/>
          <w:b/>
          <w:bCs/>
          <w:sz w:val="28"/>
          <w:szCs w:val="28"/>
        </w:rPr>
        <w:sectPr w:rsidR="006F3956">
          <w:pgSz w:w="11906" w:h="16838"/>
          <w:pgMar w:top="1440" w:right="1800" w:bottom="1440" w:left="1800" w:header="851" w:footer="992" w:gutter="0"/>
          <w:cols w:space="425"/>
          <w:docGrid w:type="lines" w:linePitch="312"/>
        </w:sectPr>
      </w:pPr>
    </w:p>
    <w:p w14:paraId="7141D9F3" w14:textId="77777777" w:rsidR="00DF09E4" w:rsidRDefault="00DF09E4" w:rsidP="00DF09E4">
      <w:pPr>
        <w:spacing w:line="360" w:lineRule="auto"/>
        <w:ind w:firstLineChars="200" w:firstLine="883"/>
        <w:jc w:val="center"/>
        <w:rPr>
          <w:rFonts w:ascii="黑体" w:eastAsia="黑体" w:hAnsi="黑体"/>
          <w:b/>
          <w:bCs/>
          <w:kern w:val="44"/>
          <w:sz w:val="44"/>
          <w:szCs w:val="44"/>
        </w:rPr>
      </w:pPr>
      <w:r w:rsidRPr="00DF09E4">
        <w:rPr>
          <w:rFonts w:ascii="黑体" w:eastAsia="黑体" w:hAnsi="黑体"/>
          <w:b/>
          <w:bCs/>
          <w:kern w:val="44"/>
          <w:sz w:val="44"/>
          <w:szCs w:val="44"/>
        </w:rPr>
        <w:lastRenderedPageBreak/>
        <w:t>历史周期律的破解之道：</w:t>
      </w:r>
    </w:p>
    <w:p w14:paraId="2E2C9EE8" w14:textId="641E1614" w:rsidR="00081319" w:rsidRPr="00081319" w:rsidRDefault="00DF09E4" w:rsidP="00DF09E4">
      <w:pPr>
        <w:spacing w:line="360" w:lineRule="auto"/>
        <w:ind w:firstLineChars="200" w:firstLine="883"/>
        <w:jc w:val="center"/>
        <w:rPr>
          <w:rFonts w:ascii="黑体" w:eastAsia="黑体" w:hAnsi="黑体"/>
          <w:b/>
          <w:bCs/>
          <w:kern w:val="44"/>
          <w:sz w:val="44"/>
          <w:szCs w:val="44"/>
        </w:rPr>
      </w:pPr>
      <w:r w:rsidRPr="00DF09E4">
        <w:rPr>
          <w:rFonts w:ascii="黑体" w:eastAsia="黑体" w:hAnsi="黑体"/>
          <w:b/>
          <w:bCs/>
          <w:kern w:val="44"/>
          <w:sz w:val="44"/>
          <w:szCs w:val="44"/>
        </w:rPr>
        <w:t>从窑洞对话到新时代思考</w:t>
      </w:r>
    </w:p>
    <w:p w14:paraId="51DC18F7" w14:textId="4F37DAAE" w:rsidR="00081319" w:rsidRPr="00081319" w:rsidRDefault="00081319" w:rsidP="00081319">
      <w:pPr>
        <w:spacing w:line="360" w:lineRule="auto"/>
        <w:ind w:firstLineChars="200" w:firstLine="480"/>
        <w:rPr>
          <w:rFonts w:ascii="宋体" w:eastAsia="宋体" w:hAnsi="宋体"/>
          <w:sz w:val="24"/>
          <w:szCs w:val="24"/>
        </w:rPr>
      </w:pPr>
      <w:r w:rsidRPr="00081319">
        <w:rPr>
          <w:rFonts w:ascii="宋体" w:eastAsia="宋体" w:hAnsi="宋体"/>
          <w:sz w:val="24"/>
          <w:szCs w:val="24"/>
        </w:rPr>
        <w:t>1945年7月4日，黄炎培先生应邀走进延安毛泽东同志的窑洞，提出了著名的“窑洞之问”——如何跳出历史周期率？黄炎培先生深情地说道：“我生六十多年，耳闻的不说，所亲眼看到的，真所谓‘其兴也勃焉，其亡也忽焉’，一人，一家，一团体，一地方，乃至一国，不少单位都没有能跳出这周期率的支配力。大凡初时聚精会神，没有一事不用心，没有一人不卖力，也许那时艰难困苦，只有从万死中觅取一生。既而环境渐渐好转了，精神也就渐渐放下了……一部历史，‘政怠宦成’的也有，‘人亡政息’的也有，‘求荣取辱’的也有。总之没有能跳出这周期率。中共诸君从过去到现在，我略略了解的了。就是希望找出一条新路，来跳出这周期率的支配。”听闻黄炎培先生肺腑之言，毛泽东同志作答：“我们已经找到新路，我们能跳出这周期率。这条新路，就是民主。只有让人民来监督政府，政府才不敢松懈。只有人人起来负责，才不会人亡政息。”黄炎培的“窑洞之问”是基于他对中国历史上各类政权兴亡更替的观察。历史证明，许多政权在初期能励精图治、锐意进取，但随着时间的推移，逐渐陷入腐败和懈怠，最终走向衰亡。这一周期现象，不仅见于封建王朝，也存在于现代政权中。因此，黄炎培迫切希望能够找到一种有效的方法，跳出这一周期律的束缚，保持国家长治久安。</w:t>
      </w:r>
    </w:p>
    <w:p w14:paraId="60392939" w14:textId="719D6F26" w:rsidR="00081319" w:rsidRDefault="00081319" w:rsidP="00081319">
      <w:pPr>
        <w:spacing w:line="360" w:lineRule="auto"/>
        <w:ind w:firstLineChars="200" w:firstLine="480"/>
        <w:rPr>
          <w:rFonts w:ascii="宋体" w:eastAsia="宋体" w:hAnsi="宋体"/>
          <w:sz w:val="24"/>
          <w:szCs w:val="24"/>
        </w:rPr>
      </w:pPr>
      <w:r w:rsidRPr="00081319">
        <w:rPr>
          <w:rFonts w:ascii="宋体" w:eastAsia="宋体" w:hAnsi="宋体"/>
          <w:sz w:val="24"/>
          <w:szCs w:val="24"/>
        </w:rPr>
        <w:t>毛泽东同志的回答简洁有力，直指问题核心。这一对话发生在抗战胜利的前夜，当时的中国正面临着百废待兴的局面，内外环境错综复杂。黄炎培提出的“窑洞之问”不仅仅是对中共的考问，更是对中华民族千年政治史的深刻反思。继续探讨这一回答的深意，可以看到，民主监督作为跳出历史周期率的“新路”，背后有着深刻的理论内涵和现实意义。</w:t>
      </w:r>
    </w:p>
    <w:p w14:paraId="0D4A4296" w14:textId="4AD17317" w:rsidR="00081319" w:rsidRPr="00081319" w:rsidRDefault="00081319" w:rsidP="00081319">
      <w:pPr>
        <w:spacing w:line="360" w:lineRule="auto"/>
        <w:ind w:firstLineChars="200" w:firstLine="480"/>
        <w:rPr>
          <w:rFonts w:ascii="宋体" w:eastAsia="宋体" w:hAnsi="宋体"/>
          <w:sz w:val="24"/>
          <w:szCs w:val="24"/>
        </w:rPr>
      </w:pPr>
      <w:r w:rsidRPr="00081319">
        <w:rPr>
          <w:rFonts w:ascii="宋体" w:eastAsia="宋体" w:hAnsi="宋体"/>
          <w:sz w:val="24"/>
          <w:szCs w:val="24"/>
        </w:rPr>
        <w:t>在这个回答中，毛泽东同志提出的“民主监督”作为跳出历史周期率的“新路”，背后有着深刻的理论内涵和现实意义。首先，这一回答体现了毛泽东同志对中国历史和政治规律的深刻理解。中国历史上，王朝的兴衰更替几乎都难逃周期率的宿命。初创时期，统治者励精图治、开疆拓土；然而一旦局势稳定，往往出现骄奢淫逸、腐败堕落，最终导致政权崩溃。毛泽东同志意识到，只有制度性的民主监督，才能防止这种趋势的重演。</w:t>
      </w:r>
    </w:p>
    <w:p w14:paraId="74E93514" w14:textId="77777777" w:rsidR="00081319" w:rsidRPr="00081319" w:rsidRDefault="00081319" w:rsidP="00081319">
      <w:pPr>
        <w:spacing w:line="360" w:lineRule="auto"/>
        <w:ind w:firstLineChars="200" w:firstLine="480"/>
        <w:rPr>
          <w:rFonts w:ascii="宋体" w:eastAsia="宋体" w:hAnsi="宋体"/>
          <w:sz w:val="24"/>
          <w:szCs w:val="24"/>
        </w:rPr>
      </w:pPr>
      <w:r w:rsidRPr="00081319">
        <w:rPr>
          <w:rFonts w:ascii="宋体" w:eastAsia="宋体" w:hAnsi="宋体"/>
          <w:sz w:val="24"/>
          <w:szCs w:val="24"/>
        </w:rPr>
        <w:lastRenderedPageBreak/>
        <w:t>进一步探讨毛泽东同志的思想，我们可以看到民主监督这一概念折射出他对人民主体地位的高度重视。人民群众是历史的创造者，只有让人民参与到国家治理中来，才能真正实现长治久安。政府的权力来源于人民，只有在人民的监督下，才能保持清正廉洁，始终为人民服务。毛泽东同志提出的“人人起来负责”正是对这一理念的生动诠释。</w:t>
      </w:r>
    </w:p>
    <w:p w14:paraId="31A63023" w14:textId="77777777" w:rsidR="00081319" w:rsidRPr="00081319" w:rsidRDefault="00081319" w:rsidP="00081319">
      <w:pPr>
        <w:spacing w:line="360" w:lineRule="auto"/>
        <w:ind w:firstLineChars="200" w:firstLine="480"/>
        <w:rPr>
          <w:rFonts w:ascii="宋体" w:eastAsia="宋体" w:hAnsi="宋体"/>
          <w:sz w:val="24"/>
          <w:szCs w:val="24"/>
        </w:rPr>
      </w:pPr>
      <w:r w:rsidRPr="009674A8">
        <w:rPr>
          <w:rFonts w:ascii="宋体" w:eastAsia="宋体" w:hAnsi="宋体"/>
          <w:sz w:val="24"/>
          <w:szCs w:val="24"/>
        </w:rPr>
        <w:t>此外，值得注意的是，</w:t>
      </w:r>
      <w:r w:rsidRPr="00081319">
        <w:rPr>
          <w:rFonts w:ascii="宋体" w:eastAsia="宋体" w:hAnsi="宋体"/>
          <w:sz w:val="24"/>
          <w:szCs w:val="24"/>
        </w:rPr>
        <w:t>“民主”不仅是一种治理手段，更是一种价值观和时代观的体现。在新中国成立之后，如何保持党的纯洁性和先进性，如何避免陷入“人亡政息”的困境，始终是中国共产党面临的重要课题。通过民主监督，能够有效防止权力滥用，确保党的路线方针始终符合人民的利益和时代发展的需要。</w:t>
      </w:r>
    </w:p>
    <w:p w14:paraId="4F916988" w14:textId="16B4DFF3" w:rsidR="00081319" w:rsidRPr="00081319" w:rsidRDefault="00081319" w:rsidP="00081319">
      <w:pPr>
        <w:spacing w:line="360" w:lineRule="auto"/>
        <w:ind w:firstLineChars="200" w:firstLine="480"/>
        <w:rPr>
          <w:rFonts w:ascii="宋体" w:eastAsia="宋体" w:hAnsi="宋体"/>
          <w:sz w:val="24"/>
          <w:szCs w:val="24"/>
        </w:rPr>
      </w:pPr>
      <w:r w:rsidRPr="009674A8">
        <w:rPr>
          <w:rFonts w:ascii="宋体" w:eastAsia="宋体" w:hAnsi="宋体"/>
          <w:sz w:val="24"/>
          <w:szCs w:val="24"/>
        </w:rPr>
        <w:t>进入新时代，毛泽东同志提出的民主监督依然具有强烈的现实意义。</w:t>
      </w:r>
      <w:r w:rsidRPr="00081319">
        <w:rPr>
          <w:rFonts w:ascii="宋体" w:eastAsia="宋体" w:hAnsi="宋体"/>
          <w:sz w:val="24"/>
          <w:szCs w:val="24"/>
        </w:rPr>
        <w:t>在全面建设社会主义现代化国家的新征程中，民主监督作为一种重要的政治机制，能够有效推动国家治理体系和治理能力现代化。</w:t>
      </w:r>
      <w:r w:rsidR="00DF09E4" w:rsidRPr="00DF09E4">
        <w:rPr>
          <w:rFonts w:ascii="宋体" w:eastAsia="宋体" w:hAnsi="宋体"/>
          <w:sz w:val="24"/>
          <w:szCs w:val="24"/>
        </w:rPr>
        <w:t>进入新时代，毛泽东同志提出的民主监督依然具有强烈的现实意义。在全面建设社会主义现代化国家的新征程中，民主监督作为一种重要的政治机制，能够有效推动国家治理体系和治理能力现代化。与此同时，习近平总书记在党的十九届六中全会上进一步丰富了这一思想，提出了自我革命的重要论断，指出我们党在百年奋斗特别是党的十八大以来的新实践中，给出了跳出历史周期率的第二个答案——自我革命。</w:t>
      </w:r>
      <w:r w:rsidRPr="00081319">
        <w:rPr>
          <w:rFonts w:ascii="宋体" w:eastAsia="宋体" w:hAnsi="宋体"/>
          <w:sz w:val="24"/>
          <w:szCs w:val="24"/>
        </w:rPr>
        <w:t>通过发挥人民群众的监督作用，能够更好地发现和解决各类社会问题，推动经济社会的健康发展。</w:t>
      </w:r>
    </w:p>
    <w:p w14:paraId="188A76CD" w14:textId="0C533011" w:rsidR="00081319" w:rsidRPr="00081319" w:rsidRDefault="00081319" w:rsidP="00081319">
      <w:pPr>
        <w:spacing w:line="360" w:lineRule="auto"/>
        <w:ind w:firstLineChars="200" w:firstLine="480"/>
        <w:rPr>
          <w:rFonts w:ascii="宋体" w:eastAsia="宋体" w:hAnsi="宋体"/>
          <w:sz w:val="24"/>
          <w:szCs w:val="24"/>
        </w:rPr>
      </w:pPr>
      <w:r w:rsidRPr="00081319">
        <w:rPr>
          <w:rFonts w:ascii="宋体" w:eastAsia="宋体" w:hAnsi="宋体"/>
          <w:sz w:val="24"/>
          <w:szCs w:val="24"/>
        </w:rPr>
        <w:t>毛泽东同志的这段话让我深有感触。作为一名新时代的大学生，我更加深刻地认识到，只有在民主监督的机制下，国家才能不断进步，社会才能更加公正。人民群众的积极参与和监督，不仅是对政府工作的促进，更是对社会公平正义的保障。</w:t>
      </w:r>
      <w:r w:rsidR="00DF09E4" w:rsidRPr="00DF09E4">
        <w:rPr>
          <w:rFonts w:ascii="宋体" w:eastAsia="宋体" w:hAnsi="宋体" w:hint="eastAsia"/>
          <w:sz w:val="24"/>
          <w:szCs w:val="24"/>
        </w:rPr>
        <w:t>新时代，正如习近平总书记所强调的，不仅要让人民监督政府，还要党自身不断进行自我革命，确保党始终保持先进性和纯洁性。这不仅是对历史周期率的深刻回答，更是对未来发展道路的坚定指引。</w:t>
      </w:r>
    </w:p>
    <w:p w14:paraId="4D466B3B" w14:textId="24643926" w:rsidR="006F3956" w:rsidRPr="00081319" w:rsidRDefault="00081319" w:rsidP="00081319">
      <w:pPr>
        <w:spacing w:line="360" w:lineRule="auto"/>
        <w:ind w:firstLineChars="200" w:firstLine="480"/>
        <w:rPr>
          <w:rFonts w:ascii="宋体" w:eastAsia="宋体" w:hAnsi="宋体"/>
          <w:sz w:val="24"/>
          <w:szCs w:val="24"/>
        </w:rPr>
      </w:pPr>
      <w:r w:rsidRPr="00081319">
        <w:rPr>
          <w:rFonts w:ascii="宋体" w:eastAsia="宋体" w:hAnsi="宋体"/>
          <w:sz w:val="24"/>
          <w:szCs w:val="24"/>
        </w:rPr>
        <w:t>历史证明，只有在人民的监督下，政府才能保持清正廉洁，始终为人民服务。作为当代青年，我们要积极投身于社会主义现代化建设，勇于担当社会责任，积极参与社会监督，共同为实现中华民族伟大复兴的中国梦而努力。毛泽东同志的教诲，如一盏明灯，指引我们在前进的道路上不忘初心，砥砺前行。</w:t>
      </w:r>
    </w:p>
    <w:sectPr w:rsidR="006F3956" w:rsidRPr="00081319" w:rsidSect="00E04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U1ODk3NDNjOTk4YmUwOThhNzEzYjc2ZDFlYjliZWUifQ=="/>
  </w:docVars>
  <w:rsids>
    <w:rsidRoot w:val="00403424"/>
    <w:rsid w:val="00063663"/>
    <w:rsid w:val="00081319"/>
    <w:rsid w:val="0009334A"/>
    <w:rsid w:val="00097144"/>
    <w:rsid w:val="000F6B84"/>
    <w:rsid w:val="0012597A"/>
    <w:rsid w:val="001640E3"/>
    <w:rsid w:val="001C1B27"/>
    <w:rsid w:val="0029226F"/>
    <w:rsid w:val="002A135D"/>
    <w:rsid w:val="002E111C"/>
    <w:rsid w:val="003E218A"/>
    <w:rsid w:val="00403424"/>
    <w:rsid w:val="004F6A2D"/>
    <w:rsid w:val="00515343"/>
    <w:rsid w:val="00667643"/>
    <w:rsid w:val="006F3956"/>
    <w:rsid w:val="00736974"/>
    <w:rsid w:val="008D399D"/>
    <w:rsid w:val="009674A8"/>
    <w:rsid w:val="00A070EF"/>
    <w:rsid w:val="00A7394F"/>
    <w:rsid w:val="00B264D3"/>
    <w:rsid w:val="00B55032"/>
    <w:rsid w:val="00B66948"/>
    <w:rsid w:val="00B7564B"/>
    <w:rsid w:val="00C01112"/>
    <w:rsid w:val="00C10DED"/>
    <w:rsid w:val="00D37722"/>
    <w:rsid w:val="00D67291"/>
    <w:rsid w:val="00DD3123"/>
    <w:rsid w:val="00DF09E4"/>
    <w:rsid w:val="00E0479D"/>
    <w:rsid w:val="00E443A8"/>
    <w:rsid w:val="00F62C42"/>
    <w:rsid w:val="00F91FFF"/>
    <w:rsid w:val="113A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6259"/>
  <w15:docId w15:val="{8EB18AA7-FBCC-4CD0-AADC-191813B0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E047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E0479D"/>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60695">
      <w:bodyDiv w:val="1"/>
      <w:marLeft w:val="0"/>
      <w:marRight w:val="0"/>
      <w:marTop w:val="0"/>
      <w:marBottom w:val="0"/>
      <w:divBdr>
        <w:top w:val="none" w:sz="0" w:space="0" w:color="auto"/>
        <w:left w:val="none" w:sz="0" w:space="0" w:color="auto"/>
        <w:bottom w:val="none" w:sz="0" w:space="0" w:color="auto"/>
        <w:right w:val="none" w:sz="0" w:space="0" w:color="auto"/>
      </w:divBdr>
    </w:div>
    <w:div w:id="690033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326B-88D5-4DE1-AAAF-42880C2F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311</Words>
  <Characters>1779</Characters>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2024-05-23T12:35:00Z</dcterms:created>
  <dcterms:modified xsi:type="dcterms:W3CDTF">2024-07-04T08:51:00Z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BC7D7F6A747145B7B105F590190F4C5B_12</vt:lpwstr>
  </property>
</Properties>
</file>