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60"/>
      </w:pPr>
      <w:r>
        <w:rPr>
          <w:b/>
          <w:bCs/>
          <w:sz w:val="26"/>
          <w:szCs w:val="26"/>
        </w:rPr>
        <w:t>Gmail 기반 스피어피싱 탐지 Chrome 확장 프로그램 개발</w:t>
      </w:r>
    </w:p>
    <w:p>
      <w:pPr>
        <w:jc w:val="center"/>
        <w:spacing w:after="60"/>
      </w:pPr>
      <w:r>
        <w:t>(Development of a Gmail-based Spear-Phishing Detection Chrome Extension Using Multi-Model AI)</w:t>
      </w:r>
    </w:p>
    <w:p>
      <w:pPr>
        <w:spacing w:after="80"/>
      </w:pPr>
    </w:p>
    <w:p>
      <w:pPr>
        <w:jc w:val="center"/>
        <w:spacing w:after="60"/>
      </w:pPr>
      <w:r>
        <w:rPr>
          <w:rFonts w:hint="eastAsia"/>
          <w:b/>
          <w:bCs/>
          <w:sz w:val="19"/>
          <w:szCs w:val="19"/>
        </w:rPr>
        <w:t xml:space="preserve"> 김익겸, </w:t>
      </w:r>
      <w:r>
        <w:rPr>
          <w:b/>
          <w:bCs/>
          <w:sz w:val="19"/>
          <w:szCs w:val="19"/>
        </w:rPr>
        <w:t>포엠사바르드 소반나봉</w:t>
      </w:r>
      <w:r>
        <w:rPr>
          <w:rFonts w:hint="eastAsia"/>
          <w:b/>
          <w:bCs/>
          <w:sz w:val="19"/>
          <w:szCs w:val="19"/>
        </w:rPr>
        <w:t xml:space="preserve">, </w:t>
      </w:r>
      <w:r>
        <w:rPr>
          <w:b/>
          <w:bCs/>
          <w:sz w:val="19"/>
          <w:szCs w:val="19"/>
        </w:rPr>
        <w:t>응엔 꽤 비엔</w:t>
      </w:r>
      <w:r>
        <w:rPr>
          <w:lang w:eastAsia="ko-KR"/>
          <w:b/>
          <w:bCs/>
          <w:sz w:val="19"/>
          <w:szCs w:val="19"/>
          <w:rtl w:val="off"/>
        </w:rPr>
        <w:t>, 김지훈</w:t>
      </w:r>
    </w:p>
    <w:p>
      <w:pPr>
        <w:spacing w:after="120"/>
      </w:pPr>
    </w:p>
    <w:p>
      <w:pPr>
        <w:pBdr>
          <w:bottom w:val="single" w:sz="4" w:space="1" w:color="000000"/>
        </w:pBdr>
        <w:spacing w:after="60" w:before="60"/>
      </w:pPr>
    </w:p>
    <w:p>
      <w:pPr>
        <w:jc w:val="both"/>
        <w:spacing w:after="80"/>
      </w:pPr>
      <w:r>
        <w:rPr>
          <w:b/>
          <w:bCs/>
        </w:rPr>
        <w:t xml:space="preserve">요  약  </w:t>
      </w:r>
      <w:r>
        <w:t>최근 사이버 공격 중 스피어피싱은 특정 대상을 겨냥한 고도화된 위협으로 증가하고 있다. 본 연구에서는 Gmail에서 실시간으로 동작하는 Chrome Manifest V3 확장 프로그램 "PhishGuard AI"를 설계·구현하였다. 발신자 표시명과 실제 도메인의 불일치를 분석하는 브랜드 사칭 탐지 알고리즘, 외국어 메일 한국어 자동 번역 후 분석, 다중 AI 모델(Groq, GPT, Gemini, Ollama) 파이프라인을 통합하였다. Privacy-First 설계로 사용자 동의 후에만 본문을 AI에 전송하며, 알고리즘 사전 필터링으로 불필요한 AI API 호출을 73% 절감하였다. 개발자 모드의 다중 모델 비교 기능으로 로컬 AI와 클라우드 AI 간 성능을 정량 비교하였으며, 분석 로그·통계·도메인 목록을 JSON 형태로 내보내는 데이터 관리 기능을 제공한다.</w:t>
      </w:r>
    </w:p>
    <w:p>
      <w:pPr>
        <w:spacing w:after="80"/>
      </w:pPr>
      <w:r>
        <w:rPr>
          <w:b/>
          <w:bCs/>
        </w:rPr>
        <w:t>핵심주제어</w:t>
      </w:r>
      <w:r>
        <w:t xml:space="preserve"> : 스피어피싱 탐지, Chrome 확장 프로그램, 대형 언어 모델, 브랜드 사칭 탐지, 로컬 AI</w:t>
      </w:r>
    </w:p>
    <w:p>
      <w:pPr>
        <w:jc w:val="both"/>
        <w:spacing w:after="80"/>
      </w:pPr>
      <w:r>
        <w:rPr>
          <w:b/>
          <w:bCs/>
        </w:rPr>
        <w:t xml:space="preserve">Abstract  </w:t>
      </w:r>
      <w:r>
        <w:t>Spear-phishing attacks have become an increasingly sophisticated cyber threat. This paper presents PhishGuard AI, a Chrome Manifest V3 extension for Gmail integrating a brand impersonation detection algorithm, automatic Korean translation of foreign-language emails, and a multi-model AI pipeline (Groq, GPT, Gemini, Ollama). A Privacy-First design transmits email body content only upon user consent, while algorithmic pre-filtering reduces unnecessary API calls by 73%. A developer mode enables quantitative model comparison, and data management features allow exporting analysis logs, statistics, and domain lists as JSON.</w:t>
      </w:r>
    </w:p>
    <w:p>
      <w:pPr>
        <w:spacing w:after="80"/>
      </w:pPr>
      <w:r>
        <w:rPr>
          <w:b/>
          <w:bCs/>
        </w:rPr>
        <w:t>Key Words</w:t>
      </w:r>
      <w:r>
        <w:t xml:space="preserve"> : Spear-Phishing Detection, Chrome Extension, LLM, Brand Impersonation, Local AI</w:t>
      </w:r>
    </w:p>
    <w:p>
      <w:pPr>
        <w:pBdr>
          <w:bottom w:val="single" w:sz="4" w:space="1" w:color="000000"/>
        </w:pBdr>
        <w:spacing w:after="60" w:before="60"/>
      </w:pPr>
    </w:p>
    <w:p>
      <w:pPr>
        <w:jc w:val="center"/>
        <w:spacing w:after="40"/>
      </w:pPr>
      <w:r>
        <w:rPr>
          <w:sz w:val="15"/>
          <w:szCs w:val="15"/>
        </w:rPr>
        <w:t>* 대전대학교 정보보안학과 (Department of Information Security, Daejeon University)</w:t>
      </w:r>
    </w:p>
    <w:p>
      <w:pPr>
        <w:pBdr>
          <w:bottom w:val="single" w:sz="4" w:space="1" w:color="000000"/>
        </w:pBdr>
        <w:spacing w:after="60" w:before="60"/>
      </w:pPr>
    </w:p>
    <w:p>
      <w:pPr>
        <w:sectPr>
          <w:type w:val="continuous"/>
          <w:pgSz w:w="11906" w:h="16838"/>
          <w:pgMar w:top="1080" w:right="1080" w:bottom="1080" w:left="1080" w:header="708" w:footer="708" w:gutter="0"/>
          <w:cols w:space="720"/>
          <w:docGrid w:linePitch="360"/>
        </w:sectPr>
      </w:pPr>
    </w:p>
    <w:p>
      <w:pPr>
        <w:pBdr>
          <w:bottom w:val="single" w:sz="6" w:space="2" w:color="000000"/>
        </w:pBdr>
        <w:spacing w:after="100" w:before="200"/>
      </w:pPr>
      <w:r>
        <w:rPr>
          <w:b/>
          <w:bCs/>
          <w:sz w:val="22"/>
          <w:szCs w:val="22"/>
        </w:rPr>
        <w:t>1. 서  론 (Introduction)</w:t>
      </w:r>
    </w:p>
    <w:p>
      <w:pPr>
        <w:spacing w:after="60" w:before="140"/>
      </w:pPr>
      <w:r>
        <w:rPr>
          <w:b/>
          <w:bCs/>
          <w:sz w:val="19"/>
          <w:szCs w:val="19"/>
        </w:rPr>
        <w:t>1.1 연구 배경 및 필요성</w:t>
      </w:r>
    </w:p>
    <w:p>
      <w:pPr>
        <w:ind w:firstLine="360"/>
        <w:jc w:val="both"/>
        <w:spacing w:after="80"/>
      </w:pPr>
      <w:r>
        <w:t>최근 이메일을 매개로 한 스피어피싱(Spear-Phishing) 공격이 지속적으로 증가하고 있다. APWG 2024 보고서에 따르면 전체 사이버 공격의 약 91%가 이메일을 초기 침투 경로로 활용하고 있다. Gmail 등 웹 기반 이메일에서는 발신자의 표시명(Display Name)과 실제 주소가 달라 비전문 사용자가 구별하기 어렵다.</w:t>
      </w:r>
    </w:p>
    <w:p>
      <w:pPr>
        <w:ind w:firstLine="360"/>
        <w:jc w:val="both"/>
        <w:spacing w:after="80"/>
      </w:pPr>
      <w:r>
        <w:t>기존 서버 측 스팸 필터링은 클라이언트 측 실시간 탐지와 경고 제공 기능이 부족하다. 특히 브랜드 사칭 공격은 신뢰할 수 있는 기업 이름을 발신자 표시명으로 사용하기 때문에 탐지가 어렵다.</w:t>
      </w:r>
    </w:p>
    <w:p>
      <w:pPr>
        <w:spacing w:after="60" w:before="140"/>
      </w:pPr>
      <w:r>
        <w:rPr>
          <w:b/>
          <w:bCs/>
          <w:sz w:val="19"/>
          <w:szCs w:val="19"/>
        </w:rPr>
        <w:t>1.2 연구 목적</w:t>
      </w:r>
    </w:p>
    <w:p>
      <w:pPr>
        <w:ind w:firstLine="360"/>
        <w:jc w:val="both"/>
        <w:spacing w:after="80"/>
      </w:pPr>
      <w:r>
        <w:t xml:space="preserve">본 연구는 Gmail에 직접 통합되는 Chrome 확장 프로그램 PhishGuard AI를 제안한다. 주요 목표는 (1) 이메일 목록에서 실시간 위험도 배지 표시, (2) 브랜드 사칭 도메인 위조 식별, (3) 로컬·클라우드 AI 비교를 통한 최적 </w:t>
      </w:r>
      <w:r>
        <w:t>배포 전략 도출이다.</w:t>
      </w:r>
    </w:p>
    <w:p>
      <w:pPr>
        <w:pBdr>
          <w:bottom w:val="single" w:sz="6" w:space="2" w:color="000000"/>
        </w:pBdr>
        <w:spacing w:after="100" w:before="200"/>
      </w:pPr>
      <w:r>
        <w:rPr>
          <w:b/>
          <w:bCs/>
          <w:sz w:val="22"/>
          <w:szCs w:val="22"/>
        </w:rPr>
        <w:t>2. 관련 연구</w:t>
      </w:r>
    </w:p>
    <w:p>
      <w:pPr>
        <w:spacing w:after="60" w:before="140"/>
      </w:pPr>
      <w:r>
        <w:rPr>
          <w:b/>
          <w:bCs/>
          <w:sz w:val="19"/>
          <w:szCs w:val="19"/>
        </w:rPr>
        <w:t>2.1 기존 피싱 탐지 기술의 한계</w:t>
      </w:r>
    </w:p>
    <w:p>
      <w:pPr>
        <w:ind w:firstLine="360"/>
        <w:jc w:val="both"/>
        <w:spacing w:after="80"/>
      </w:pPr>
      <w:r>
        <w:t>기존 이메일 피싱 탐지는 규칙 기반(블랙리스트, URL 패턴)과 머신러닝 기반으로 구분된다. 규칙 기반은 신규 공격에 취약하고, 머신러닝 기반은 클라이언트 측 실시간 추론이 어렵다. Chrome 확장 보안 도구는 외부 서버 의존적이어서 개인정보 유출 위험이 있다.</w:t>
      </w:r>
    </w:p>
    <w:p>
      <w:pPr>
        <w:spacing w:after="60" w:before="140"/>
      </w:pPr>
      <w:r>
        <w:rPr>
          <w:b/>
          <w:bCs/>
          <w:sz w:val="19"/>
          <w:szCs w:val="19"/>
        </w:rPr>
        <w:t>2.2 LLM의 보안 분야 적용</w:t>
      </w:r>
    </w:p>
    <w:p>
      <w:pPr>
        <w:ind w:firstLine="360"/>
        <w:jc w:val="both"/>
        <w:spacing w:after="80"/>
      </w:pPr>
      <w:r>
        <w:t>LLM은 이메일 본문의 맥락·긴급성 표현·개인정보 요구 패턴 등 사회공학적 요소 분석에 효과적이다. 그러나 클라우드 API 사용 시 민감한 이메일 내용의 외부 전송 문제가 있다. 본 연구는 Ollama 로컬 LLM으로 프라이버시 보호와 AI 분석을 동시에 제공한다.</w:t>
      </w:r>
    </w:p>
    <w:p>
      <w:pPr>
        <w:pBdr>
          <w:bottom w:val="single" w:sz="6" w:space="2" w:color="000000"/>
        </w:pBdr>
        <w:spacing w:after="100" w:before="200"/>
      </w:pPr>
      <w:r>
        <w:rPr>
          <w:b/>
          <w:bCs/>
          <w:sz w:val="22"/>
          <w:szCs w:val="22"/>
        </w:rPr>
        <w:t>3. 제안 시스템 설계 및 구현</w:t>
      </w:r>
    </w:p>
    <w:p>
      <w:pPr>
        <w:spacing w:after="60" w:before="140"/>
      </w:pPr>
      <w:r>
        <w:rPr>
          <w:b/>
          <w:bCs/>
          <w:sz w:val="19"/>
          <w:szCs w:val="19"/>
        </w:rPr>
        <w:t>3.1 시스템 개요</w:t>
      </w:r>
    </w:p>
    <w:p>
      <w:pPr>
        <w:ind w:firstLine="360"/>
        <w:jc w:val="both"/>
        <w:spacing w:after="80"/>
      </w:pPr>
      <w:r>
        <w:t>PhishGuard AI는 Chrome Manifest V3 기반 Gmail 전용 보안 확장으로 Content Script(content.js), Service Worker(background.js), 팝업 UI(popup.js)의 세 계층으로 구성된다(그림 1). API 키는 chrome.storage.local에만 저장하는 BYOK 방식을 채택한다.</w:t>
      </w:r>
    </w:p>
    <w:p>
      <w:pPr>
        <w:jc w:val="center"/>
        <w:spacing w:after="40" w:before="40"/>
      </w:pPr>
      <w:r>
        <w:rPr>
          <w:noProof/>
        </w:rPr>
        <w:drawing>
          <wp:inline distT="0" distB="0" distL="0" distR="0">
            <wp:extent cx="2695575" cy="1562100"/>
            <wp:effectExtent l="0" t="0" r="0" b="0"/>
            <wp:docPr id="102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그림 1"/>
                    <pic:cNvPicPr>
                      <a:picLocks noChangeAspect="1" noUngrp="1"/>
                    </pic:cNvPicPr>
                  </pic:nvPicPr>
                  <pic:blipFill>
                    <a:blip r:embed="rId1">
                      <a:extLst>
                        <a:ext uri="{28A0092B-C50C-407E-A947-70E740481C1C}">
                          <a14:useLocalDpi xmlns:a14="http://schemas.microsoft.com/office/drawing/2010/main" val="0"/>
                        </a:ext>
                      </a:extLst>
                    </a:blip>
                    <a:srcRect/>
                    <a:stretch>
                      <a:fillRect/>
                    </a:stretch>
                  </pic:blipFill>
                  <pic:spPr>
                    <a:xfrm>
                      <a:off x="0" y="0"/>
                      <a:ext cx="2695575" cy="1562100"/>
                    </a:xfrm>
                    <a:prstGeom prst="rect">
                      <a:avLst/>
                    </a:prstGeom>
                  </pic:spPr>
                </pic:pic>
              </a:graphicData>
            </a:graphic>
          </wp:inline>
        </w:drawing>
      </w:r>
    </w:p>
    <w:p>
      <w:pPr>
        <w:jc w:val="center"/>
        <w:spacing w:after="120" w:before="40"/>
      </w:pPr>
      <w:r>
        <w:rPr>
          <w:b/>
          <w:bCs/>
          <w:sz w:val="16"/>
          <w:szCs w:val="16"/>
        </w:rPr>
        <w:t>[그림 1] PhishGuard AI 시스템 구조도</w:t>
      </w:r>
    </w:p>
    <w:p>
      <w:pPr>
        <w:spacing w:after="60" w:before="140"/>
      </w:pPr>
      <w:r>
        <w:rPr>
          <w:b/>
          <w:bCs/>
          <w:sz w:val="19"/>
          <w:szCs w:val="19"/>
        </w:rPr>
        <w:t>3.2 알고리즘 기반 사전 분석</w:t>
      </w:r>
    </w:p>
    <w:p>
      <w:pPr>
        <w:ind w:firstLine="360"/>
        <w:jc w:val="both"/>
        <w:spacing w:after="80"/>
      </w:pPr>
      <w:r>
        <w:t>로컬 알고리즘 사전 분석 모듈의 분석 요소는 (1) 브랜드 사칭 탐지, (2) 한국어·영어 피싱 키워드 25개, (3) URL 패턴, (4) 유니코드 동형 문자이다. GitHub·Google 등 글로벌 IT 서비스와 KB·신한·하나·우리은행, SKT·KT·LG U+ 등 국내 브랜드 40여 개를 지원한다. 위험도 분류 기준은 표 1과 같다.</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left w:w="10" w:type="dxa"/>
          <w:right w:w="10" w:type="dxa"/>
        </w:tblCellMar>
      </w:tblPr>
      <w:tblGrid>
        <w:gridCol w:w="903"/>
        <w:gridCol w:w="1444"/>
        <w:gridCol w:w="2166"/>
      </w:tblGrid>
      <w:tr>
        <w:trPr>
          <w:tblHeader/>
        </w:trPr>
        <w:tc>
          <w:tcPr>
            <w:tcW w:w="90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위험도</w:t>
            </w:r>
          </w:p>
        </w:tc>
        <w:tc>
          <w:tcPr>
            <w:tcW w:w="144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점수 범위</w:t>
            </w:r>
          </w:p>
        </w:tc>
        <w:tc>
          <w:tcPr>
            <w:tcW w:w="2166"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처리 방식</w:t>
            </w:r>
          </w:p>
        </w:tc>
      </w:tr>
      <w:tr>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LOW</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0 ~ 24점</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AI 동의 패널</w:t>
            </w:r>
          </w:p>
        </w:tc>
      </w:tr>
      <w:tr>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MEDIUM</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25 ~ 59점</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AI 동의 즉시</w:t>
            </w:r>
          </w:p>
        </w:tc>
      </w:tr>
      <w:tr>
        <w:tc>
          <w:tcPr>
            <w:tcW w:w="90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HIGH</w:t>
            </w:r>
          </w:p>
        </w:tc>
        <w:tc>
          <w:tcPr>
            <w:tcW w:w="144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60점+/브랜드사칭</w:t>
            </w:r>
          </w:p>
        </w:tc>
        <w:tc>
          <w:tcPr>
            <w:tcW w:w="216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클릭 인터셉터</w:t>
            </w:r>
          </w:p>
        </w:tc>
      </w:tr>
    </w:tbl>
    <w:p>
      <w:pPr>
        <w:jc w:val="center"/>
        <w:spacing w:after="120" w:before="40"/>
      </w:pPr>
      <w:r>
        <w:rPr>
          <w:b/>
          <w:bCs/>
          <w:sz w:val="16"/>
          <w:szCs w:val="16"/>
        </w:rPr>
        <w:t>[표 1] 위험도 분류 기준</w:t>
      </w:r>
    </w:p>
    <w:p>
      <w:pPr>
        <w:ind w:firstLine="360"/>
        <w:jc w:val="both"/>
        <w:spacing w:after="80"/>
      </w:pPr>
      <w:r>
        <w:t>그림 2는 Gmail 메일 목록에서 각 메일에 위험도 배지가 표시된 화면이다. 보통/낮음/높음 5단계로 색상 구분되어 표시된다.</w:t>
      </w:r>
    </w:p>
    <w:p>
      <w:pPr>
        <w:jc w:val="center"/>
        <w:spacing w:after="40" w:before="40"/>
      </w:pPr>
      <w:r>
        <w:rPr>
          <w:noProof/>
        </w:rPr>
        <w:drawing>
          <wp:inline distT="0" distB="0" distL="0" distR="0">
            <wp:extent cx="2695575" cy="1466850"/>
            <wp:effectExtent l="0" t="0" r="0" b="0"/>
            <wp:docPr id="1026" name="그림 187905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그림 1879058945"/>
                    <pic:cNvPicPr>
                      <a:picLocks noChangeAspect="1" noUngrp="1"/>
                    </pic:cNvPicPr>
                  </pic:nvPicPr>
                  <pic:blipFill>
                    <a:blip r:embed="rId2">
                      <a:extLst>
                        <a:ext uri="{28A0092B-C50C-407E-A947-70E740481C1C}">
                          <a14:useLocalDpi xmlns:a14="http://schemas.microsoft.com/office/drawing/2010/main" val="0"/>
                        </a:ext>
                      </a:extLst>
                    </a:blip>
                    <a:srcRect/>
                    <a:stretch>
                      <a:fillRect/>
                    </a:stretch>
                  </pic:blipFill>
                  <pic:spPr>
                    <a:xfrm>
                      <a:off x="0" y="0"/>
                      <a:ext cx="2695575" cy="1466850"/>
                    </a:xfrm>
                    <a:prstGeom prst="rect">
                      <a:avLst/>
                    </a:prstGeom>
                  </pic:spPr>
                </pic:pic>
              </a:graphicData>
            </a:graphic>
          </wp:inline>
        </w:drawing>
      </w:r>
    </w:p>
    <w:p>
      <w:pPr>
        <w:jc w:val="center"/>
        <w:spacing w:after="120" w:before="40"/>
      </w:pPr>
      <w:r>
        <w:rPr>
          <w:b/>
          <w:bCs/>
          <w:sz w:val="16"/>
          <w:szCs w:val="16"/>
        </w:rPr>
        <w:t>[그림 2] Gmail 메일 목록 위험도 배지 표시</w:t>
      </w:r>
    </w:p>
    <w:p>
      <w:pPr>
        <w:spacing w:after="60" w:before="140"/>
      </w:pPr>
      <w:r>
        <w:rPr>
          <w:b/>
          <w:bCs/>
          <w:sz w:val="19"/>
          <w:szCs w:val="19"/>
        </w:rPr>
        <w:t>3.3 Privacy-First AI 분석 파이프라인</w:t>
      </w:r>
    </w:p>
    <w:p>
      <w:pPr>
        <w:ind w:firstLine="360"/>
        <w:jc w:val="both"/>
        <w:spacing w:after="80"/>
      </w:pPr>
      <w:r>
        <w:t>메타데이터 1차 검사 후 사용자가 동의하면 AI API를 호출한다. 그림 3은 HIGH 위험 메일에 대한 오버레이 경고와 분석 결과 패널을 동시에 보여준다. 체크리스트에서 안전 항목은 초록색 자동 체크, 위험 항목은 빨간색으</w:t>
      </w:r>
      <w:r>
        <w:t>로 강조된다.</w:t>
      </w:r>
    </w:p>
    <w:p>
      <w:pPr>
        <w:jc w:val="center"/>
        <w:spacing w:after="40" w:before="40"/>
      </w:pPr>
      <w:r>
        <w:rPr>
          <w:noProof/>
        </w:rPr>
        <w:drawing>
          <wp:inline distT="0" distB="0" distL="0" distR="0">
            <wp:extent cx="2695575" cy="1981200"/>
            <wp:effectExtent l="0" t="0" r="0" b="0"/>
            <wp:docPr id="1027" name="그림 664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그림 6642470"/>
                    <pic:cNvPicPr>
                      <a:picLocks noChangeAspect="1" noUngrp="1"/>
                    </pic:cNvPicPr>
                  </pic:nvPicPr>
                  <pic:blipFill>
                    <a:blip r:embed="rId3">
                      <a:extLst>
                        <a:ext uri="{28A0092B-C50C-407E-A947-70E740481C1C}">
                          <a14:useLocalDpi xmlns:a14="http://schemas.microsoft.com/office/drawing/2010/main" val="0"/>
                        </a:ext>
                      </a:extLst>
                    </a:blip>
                    <a:srcRect/>
                    <a:stretch>
                      <a:fillRect/>
                    </a:stretch>
                  </pic:blipFill>
                  <pic:spPr>
                    <a:xfrm>
                      <a:off x="0" y="0"/>
                      <a:ext cx="2695575" cy="1981200"/>
                    </a:xfrm>
                    <a:prstGeom prst="rect">
                      <a:avLst/>
                    </a:prstGeom>
                  </pic:spPr>
                </pic:pic>
              </a:graphicData>
            </a:graphic>
          </wp:inline>
        </w:drawing>
      </w:r>
    </w:p>
    <w:p>
      <w:pPr>
        <w:jc w:val="center"/>
        <w:spacing w:after="120" w:before="40"/>
      </w:pPr>
      <w:r>
        <w:rPr>
          <w:b/>
          <w:bCs/>
          <w:sz w:val="16"/>
          <w:szCs w:val="16"/>
        </w:rPr>
        <w:t>[그림 3] 오버레이 경고 및 AI 분석 결과 패널 (HIGH 위험)</w:t>
      </w:r>
    </w:p>
    <w:p>
      <w:pPr>
        <w:ind w:firstLine="360"/>
        <w:jc w:val="both"/>
        <w:spacing w:after="80"/>
      </w:pPr>
      <w:r>
        <w:t>외국어 메일은 한글 문자 비율 5% 미만이면 외국어로 판단하여 한국어 번역 지시를 자동 추가한다. 그림 4는 영어 GitHub 메일을 정상(낮음)으로 판정하고 번역 안내를 표시한 결과이다.</w:t>
      </w:r>
    </w:p>
    <w:p>
      <w:pPr>
        <w:jc w:val="center"/>
        <w:spacing w:after="40" w:before="40"/>
      </w:pPr>
      <w:r>
        <w:rPr>
          <w:noProof/>
        </w:rPr>
        <w:drawing>
          <wp:inline distT="0" distB="0" distL="0" distR="0">
            <wp:extent cx="2695575" cy="1800225"/>
            <wp:effectExtent l="0" t="0" r="0" b="0"/>
            <wp:docPr id="1028" name="그림 191824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그림 1918243115"/>
                    <pic:cNvPicPr>
                      <a:picLocks noChangeAspect="1" noUngrp="1"/>
                    </pic:cNvPicPr>
                  </pic:nvPicPr>
                  <pic:blipFill>
                    <a:blip r:embed="rId4">
                      <a:extLst>
                        <a:ext uri="{28A0092B-C50C-407E-A947-70E740481C1C}">
                          <a14:useLocalDpi xmlns:a14="http://schemas.microsoft.com/office/drawing/2010/main" val="0"/>
                        </a:ext>
                      </a:extLst>
                    </a:blip>
                    <a:srcRect/>
                    <a:stretch>
                      <a:fillRect/>
                    </a:stretch>
                  </pic:blipFill>
                  <pic:spPr>
                    <a:xfrm>
                      <a:off x="0" y="0"/>
                      <a:ext cx="2695575" cy="1800225"/>
                    </a:xfrm>
                    <a:prstGeom prst="rect">
                      <a:avLst/>
                    </a:prstGeom>
                  </pic:spPr>
                </pic:pic>
              </a:graphicData>
            </a:graphic>
          </wp:inline>
        </w:drawing>
      </w:r>
    </w:p>
    <w:p>
      <w:pPr>
        <w:jc w:val="center"/>
        <w:spacing w:after="120" w:before="40"/>
      </w:pPr>
      <w:r>
        <w:rPr>
          <w:b/>
          <w:bCs/>
          <w:sz w:val="16"/>
          <w:szCs w:val="16"/>
        </w:rPr>
        <w:t>[그림 4] 영어 메일 분석 결과 (정상 판정, 번역 안내)</w:t>
      </w:r>
    </w:p>
    <w:p>
      <w:pPr>
        <w:ind w:firstLine="360"/>
        <w:jc w:val="both"/>
        <w:spacing w:after="80"/>
      </w:pPr>
      <w:r>
        <w:t>그림 5는 클릭 인터셉터 오버레이로, HIGH로 사전 분류된 메일 클릭 시 Gmail 열람 전에 경고 화면이 먼저 표시되며 위험 지표와 열람 여부를 선택할 수 있다.</w:t>
      </w:r>
    </w:p>
    <w:p>
      <w:pPr>
        <w:jc w:val="center"/>
        <w:spacing w:after="40" w:before="40"/>
      </w:pPr>
      <w:r>
        <w:rPr>
          <w:noProof/>
        </w:rPr>
        <w:drawing>
          <wp:inline distT="0" distB="0" distL="0" distR="0">
            <wp:extent cx="1981200" cy="2486025"/>
            <wp:effectExtent l="0" t="0" r="0" b="0"/>
            <wp:docPr id="1029" name="그림 100291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그림 1002916005"/>
                    <pic:cNvPicPr>
                      <a:picLocks noChangeAspect="1" noUngrp="1"/>
                    </pic:cNvPicPr>
                  </pic:nvPicPr>
                  <pic:blipFill>
                    <a:blip r:embed="rId5">
                      <a:extLst>
                        <a:ext uri="{28A0092B-C50C-407E-A947-70E740481C1C}">
                          <a14:useLocalDpi xmlns:a14="http://schemas.microsoft.com/office/drawing/2010/main" val="0"/>
                        </a:ext>
                      </a:extLst>
                    </a:blip>
                    <a:srcRect/>
                    <a:stretch>
                      <a:fillRect/>
                    </a:stretch>
                  </pic:blipFill>
                  <pic:spPr>
                    <a:xfrm>
                      <a:off x="0" y="0"/>
                      <a:ext cx="1981200" cy="2486025"/>
                    </a:xfrm>
                    <a:prstGeom prst="rect">
                      <a:avLst/>
                    </a:prstGeom>
                  </pic:spPr>
                </pic:pic>
              </a:graphicData>
            </a:graphic>
          </wp:inline>
        </w:drawing>
      </w:r>
    </w:p>
    <w:p>
      <w:pPr>
        <w:jc w:val="center"/>
        <w:spacing w:after="120" w:before="40"/>
      </w:pPr>
      <w:r>
        <w:rPr>
          <w:b/>
          <w:bCs/>
          <w:sz w:val="16"/>
          <w:szCs w:val="16"/>
        </w:rPr>
        <w:t>[그림 5] 클릭 인터셉터 경고 오버레이</w:t>
      </w:r>
    </w:p>
    <w:p>
      <w:pPr>
        <w:spacing w:after="60" w:before="140"/>
      </w:pPr>
      <w:r>
        <w:rPr>
          <w:b/>
          <w:bCs/>
          <w:sz w:val="19"/>
          <w:szCs w:val="19"/>
        </w:rPr>
        <w:t>3.4 다중 AI 모델 지원</w:t>
      </w:r>
    </w:p>
    <w:p>
      <w:pPr>
        <w:ind w:firstLine="360"/>
        <w:jc w:val="both"/>
        <w:spacing w:after="80"/>
      </w:pPr>
      <w:r>
        <w:t>4종 AI 모델(표 2)을 지원한다. 팝업에서 모델을 선택</w:t>
      </w:r>
      <w:r>
        <w:t>하고 API 키를 등록하면 즉시 분석에 적용된다. Ollama 로컬 모델은 API 키 없이 자신의 PC에서 완전히 동작하므로 이메일 내용이 외부로 전송되지 않는다.</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left w:w="10" w:type="dxa"/>
          <w:right w:w="10" w:type="dxa"/>
        </w:tblCellMar>
      </w:tblPr>
      <w:tblGrid>
        <w:gridCol w:w="813"/>
        <w:gridCol w:w="812"/>
        <w:gridCol w:w="1534"/>
        <w:gridCol w:w="1354"/>
      </w:tblGrid>
      <w:tr>
        <w:trPr>
          <w:tblHeader/>
        </w:trPr>
        <w:tc>
          <w:tcPr>
            <w:tcW w:w="812"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모델 키</w:t>
            </w:r>
          </w:p>
        </w:tc>
        <w:tc>
          <w:tcPr>
            <w:tcW w:w="812"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제공사</w:t>
            </w:r>
          </w:p>
        </w:tc>
        <w:tc>
          <w:tcPr>
            <w:tcW w:w="153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모델명</w:t>
            </w:r>
          </w:p>
        </w:tc>
        <w:tc>
          <w:tcPr>
            <w:tcW w:w="135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특징</w:t>
            </w:r>
          </w:p>
        </w:tc>
      </w:tr>
      <w:t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groq</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Groq</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LLaMA 3.3 70B</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빠른 속도, 무료</w:t>
            </w:r>
          </w:p>
        </w:tc>
      </w:tr>
      <w:t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gemini</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Google</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 xml:space="preserve">Gemini </w:t>
            </w:r>
            <w:r>
              <w:rPr>
                <w:lang w:eastAsia="ko-KR"/>
                <w:sz w:val="16"/>
                <w:szCs w:val="16"/>
                <w:rtl w:val="off"/>
              </w:rPr>
              <w:t>3.1</w:t>
            </w:r>
            <w:r>
              <w:rPr>
                <w:sz w:val="16"/>
                <w:szCs w:val="16"/>
              </w:rPr>
              <w:t xml:space="preserve"> Flash</w:t>
            </w:r>
            <w:r>
              <w:rPr>
                <w:lang w:eastAsia="ko-KR"/>
                <w:sz w:val="16"/>
                <w:szCs w:val="16"/>
                <w:rtl w:val="off"/>
              </w:rPr>
              <w:t xml:space="preserve"> Lite</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멀티모달</w:t>
            </w:r>
          </w:p>
        </w:tc>
      </w:tr>
      <w:t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gpt</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OpenAI</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rPr>
                <w:sz w:val="16"/>
                <w:szCs w:val="16"/>
              </w:rPr>
            </w:pPr>
            <w:r>
              <w:rPr>
                <w:sz w:val="16"/>
                <w:szCs w:val="16"/>
              </w:rPr>
              <w:t>GPT-</w:t>
            </w:r>
            <w:r>
              <w:rPr>
                <w:rFonts w:hint="eastAsia"/>
                <w:sz w:val="16"/>
                <w:szCs w:val="16"/>
              </w:rPr>
              <w:t>5.</w:t>
            </w:r>
            <w:r>
              <w:rPr>
                <w:lang w:eastAsia="ko-KR"/>
                <w:rFonts w:hint="eastAsia"/>
                <w:sz w:val="16"/>
                <w:szCs w:val="16"/>
                <w:rtl w:val="off"/>
              </w:rPr>
              <w:t>5</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고정확도(유료)</w:t>
            </w:r>
          </w:p>
        </w:tc>
      </w:tr>
      <w:tr>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ollama</w:t>
            </w:r>
          </w:p>
        </w:tc>
        <w:tc>
          <w:tcPr>
            <w:tcW w:w="81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Local</w:t>
            </w:r>
          </w:p>
        </w:tc>
        <w:tc>
          <w:tcPr>
            <w:tcW w:w="153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lang w:eastAsia="ko-KR"/>
                <w:sz w:val="16"/>
                <w:szCs w:val="16"/>
                <w:rtl w:val="off"/>
              </w:rPr>
              <w:t>Q</w:t>
            </w:r>
            <w:r>
              <w:rPr>
                <w:sz w:val="16"/>
                <w:szCs w:val="16"/>
              </w:rPr>
              <w:t>wen3.5:9b</w:t>
            </w:r>
          </w:p>
        </w:tc>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완전 로컬</w:t>
            </w:r>
          </w:p>
        </w:tc>
      </w:tr>
    </w:tbl>
    <w:p>
      <w:pPr>
        <w:jc w:val="center"/>
        <w:spacing w:after="120" w:before="40"/>
      </w:pPr>
      <w:r>
        <w:rPr>
          <w:b/>
          <w:bCs/>
          <w:sz w:val="16"/>
          <w:szCs w:val="16"/>
        </w:rPr>
        <w:t>[표 2] 지원 AI 모델 목록</w:t>
      </w:r>
    </w:p>
    <w:p>
      <w:pPr>
        <w:spacing w:after="60" w:before="140"/>
      </w:pPr>
      <w:r>
        <w:rPr>
          <w:b/>
          <w:bCs/>
          <w:sz w:val="19"/>
          <w:szCs w:val="19"/>
        </w:rPr>
        <w:t>3.5 도메인 관리 및 데이터 내보내기</w:t>
      </w:r>
    </w:p>
    <w:p>
      <w:pPr>
        <w:ind w:firstLine="360"/>
        <w:jc w:val="both"/>
        <w:spacing w:after="80"/>
      </w:pPr>
      <w:r>
        <w:t>그림 6은 도메인 목록 관리 화면이다. 화이트리스트와 블랙리스트를 각각 독립적으로 관리할 수 있으며, 이메일 주소 또는 도메인 단위로 등록이 가능하다. 화이트리스트에 등록된 발신자는 즉시 신뢰(SAFE)로, 블랙리스트 등록 발신자는 차단(BLACKLIST)으로 분류된다. 등록 즉시 메일 목록의 배지가 갱신되며, 별도의 재분석 없이 실시간으로 반영된다.</w:t>
      </w:r>
    </w:p>
    <w:p>
      <w:pPr>
        <w:ind w:firstLine="360"/>
        <w:jc w:val="both"/>
        <w:spacing w:after="80"/>
      </w:pPr>
      <w:r>
        <w:t>도메인 목록 전체를 JSON 파일로 내보내거나, 외부에서 작성한 JSON 파일을 가져와 기존 목록에 병합할 수 있다. 가져오기 시 중복 항목은 자동으로 제거되며, 화이트리스트와 블랙리스트 간 충돌 시 가져온 파일의 분류가 우선 적용된다. 이를 통해 팀 단위로 도메인 목록을 공유하거나 신뢰할 수 있는 목록 파일을 배포하는 데 활용할 수 있다.</w:t>
      </w:r>
    </w:p>
    <w:p>
      <w:pPr>
        <w:jc w:val="center"/>
        <w:spacing w:after="40" w:before="40"/>
      </w:pPr>
      <w:r>
        <w:rPr>
          <w:noProof/>
        </w:rPr>
        <w:drawing>
          <wp:inline distT="0" distB="0" distL="0" distR="0">
            <wp:extent cx="2695575" cy="504825"/>
            <wp:effectExtent l="0" t="0" r="0" b="0"/>
            <wp:docPr id="1030" name="그림 549208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그림 549208220"/>
                    <pic:cNvPicPr>
                      <a:picLocks noChangeAspect="1" noUngrp="1"/>
                    </pic:cNvPicPr>
                  </pic:nvPicPr>
                  <pic:blipFill>
                    <a:blip r:embed="rId6">
                      <a:extLst>
                        <a:ext uri="{28A0092B-C50C-407E-A947-70E740481C1C}">
                          <a14:useLocalDpi xmlns:a14="http://schemas.microsoft.com/office/drawing/2010/main" val="0"/>
                        </a:ext>
                      </a:extLst>
                    </a:blip>
                    <a:srcRect/>
                    <a:stretch>
                      <a:fillRect/>
                    </a:stretch>
                  </pic:blipFill>
                  <pic:spPr>
                    <a:xfrm>
                      <a:off x="0" y="0"/>
                      <a:ext cx="2695575" cy="504825"/>
                    </a:xfrm>
                    <a:prstGeom prst="rect">
                      <a:avLst/>
                    </a:prstGeom>
                  </pic:spPr>
                </pic:pic>
              </a:graphicData>
            </a:graphic>
          </wp:inline>
        </w:drawing>
      </w:r>
    </w:p>
    <w:p>
      <w:pPr>
        <w:jc w:val="center"/>
        <w:spacing w:after="120" w:before="40"/>
      </w:pPr>
      <w:r>
        <w:rPr>
          <w:b/>
          <w:bCs/>
          <w:sz w:val="16"/>
          <w:szCs w:val="16"/>
        </w:rPr>
        <w:t>[그림 6] 도메인 관리 화면 — 화이트리스트·블랙리스트 및 JSON 가져오기/내보내기</w:t>
      </w:r>
    </w:p>
    <w:p>
      <w:pPr>
        <w:ind w:firstLine="360"/>
        <w:jc w:val="both"/>
        <w:spacing w:after="80"/>
      </w:pPr>
      <w:r>
        <w:t>그림 7은 팝업의 분석 통계 화면이다. 높음·보통·낮음·총 분석 건수를 카드 형태로 실시간 표시하며, "통계 내보내기" 버튼을 통해 누적 분석 히스토리를 JSON 파일로 내보낼 수 있다. 내보내기 JSON에는 타임스탬프·발신자·제목·사용 모델·위험도·신뢰도·응답시간이 포함되어 장기적인 피싱 패턴 분석 및 모델 성능 평가에 활용할 수 있다.</w:t>
      </w:r>
    </w:p>
    <w:p>
      <w:pPr>
        <w:jc w:val="center"/>
        <w:spacing w:after="40" w:before="40"/>
      </w:pPr>
      <w:r>
        <w:rPr>
          <w:noProof/>
        </w:rPr>
        <w:drawing>
          <wp:inline distT="0" distB="0" distL="0" distR="0">
            <wp:extent cx="1438275" cy="2105025"/>
            <wp:effectExtent l="0" t="0" r="0" b="0"/>
            <wp:docPr id="1031" name="그림 81181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그림 811819651"/>
                    <pic:cNvPicPr>
                      <a:picLocks noChangeAspect="1" noUngrp="1"/>
                    </pic:cNvPicPr>
                  </pic:nvPicPr>
                  <pic:blipFill>
                    <a:blip r:embed="rId7">
                      <a:extLst>
                        <a:ext uri="{28A0092B-C50C-407E-A947-70E740481C1C}">
                          <a14:useLocalDpi xmlns:a14="http://schemas.microsoft.com/office/drawing/2010/main" val="0"/>
                        </a:ext>
                      </a:extLst>
                    </a:blip>
                    <a:srcRect/>
                    <a:stretch>
                      <a:fillRect/>
                    </a:stretch>
                  </pic:blipFill>
                  <pic:spPr>
                    <a:xfrm>
                      <a:off x="0" y="0"/>
                      <a:ext cx="1438275" cy="2105025"/>
                    </a:xfrm>
                    <a:prstGeom prst="rect">
                      <a:avLst/>
                    </a:prstGeom>
                  </pic:spPr>
                </pic:pic>
              </a:graphicData>
            </a:graphic>
          </wp:inline>
        </w:drawing>
      </w:r>
    </w:p>
    <w:p>
      <w:pPr>
        <w:jc w:val="center"/>
        <w:spacing w:after="120" w:before="40"/>
      </w:pPr>
      <w:r>
        <w:rPr>
          <w:b/>
          <w:bCs/>
          <w:sz w:val="16"/>
          <w:szCs w:val="16"/>
        </w:rPr>
        <w:t>[그림 7] 팝업 분석 통계 및 통계 JSON 내보내기</w:t>
      </w:r>
    </w:p>
    <w:p>
      <w:pPr>
        <w:ind w:firstLine="360"/>
        <w:jc w:val="both"/>
        <w:spacing w:after="80"/>
      </w:pPr>
      <w:r>
        <w:t>그림 8은 API 응답 로그 화면으로, 전체 호출 내역의 성공/실패 통계와 각 호출의 모델명·응답시간·HTTP 상태·위험도를 확인할 수 있다. 키워드 검색 및 상태·검사 유형 필터링을 지원한다.</w:t>
      </w:r>
    </w:p>
    <w:p>
      <w:pPr>
        <w:jc w:val="center"/>
        <w:spacing w:after="40" w:before="40"/>
      </w:pPr>
      <w:r>
        <w:rPr>
          <w:noProof/>
        </w:rPr>
        <w:drawing>
          <wp:inline distT="0" distB="0" distL="0" distR="0">
            <wp:extent cx="2695575" cy="1952625"/>
            <wp:effectExtent l="0" t="0" r="0" b="0"/>
            <wp:docPr id="1032" name="그림 173911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그림 1739116699"/>
                    <pic:cNvPicPr>
                      <a:picLocks noChangeAspect="1" noUngrp="1"/>
                    </pic:cNvPicPr>
                  </pic:nvPicPr>
                  <pic:blipFill>
                    <a:blip r:embed="rId8">
                      <a:extLst>
                        <a:ext uri="{28A0092B-C50C-407E-A947-70E740481C1C}">
                          <a14:useLocalDpi xmlns:a14="http://schemas.microsoft.com/office/drawing/2010/main" val="0"/>
                        </a:ext>
                      </a:extLst>
                    </a:blip>
                    <a:srcRect/>
                    <a:stretch>
                      <a:fillRect/>
                    </a:stretch>
                  </pic:blipFill>
                  <pic:spPr>
                    <a:xfrm>
                      <a:off x="0" y="0"/>
                      <a:ext cx="2695575" cy="1952625"/>
                    </a:xfrm>
                    <a:prstGeom prst="rect">
                      <a:avLst/>
                    </a:prstGeom>
                  </pic:spPr>
                </pic:pic>
              </a:graphicData>
            </a:graphic>
          </wp:inline>
        </w:drawing>
      </w:r>
    </w:p>
    <w:p>
      <w:pPr>
        <w:jc w:val="center"/>
        <w:spacing w:after="120" w:before="40"/>
      </w:pPr>
      <w:r>
        <w:rPr>
          <w:b/>
          <w:bCs/>
          <w:sz w:val="16"/>
          <w:szCs w:val="16"/>
        </w:rPr>
        <w:t>[그림 8] API 응답 로그 화면</w:t>
      </w:r>
    </w:p>
    <w:p>
      <w:pPr>
        <w:pBdr>
          <w:bottom w:val="single" w:sz="6" w:space="2" w:color="000000"/>
        </w:pBdr>
        <w:spacing w:after="100" w:before="200"/>
      </w:pPr>
      <w:r>
        <w:rPr>
          <w:b/>
          <w:bCs/>
          <w:sz w:val="22"/>
          <w:szCs w:val="22"/>
        </w:rPr>
        <w:t>4. 결과 및 분석</w:t>
      </w:r>
    </w:p>
    <w:p>
      <w:pPr>
        <w:spacing w:after="60" w:before="140"/>
      </w:pPr>
      <w:r>
        <w:rPr>
          <w:b/>
          <w:bCs/>
          <w:sz w:val="19"/>
          <w:szCs w:val="19"/>
        </w:rPr>
        <w:t>4.1 실험 환경</w:t>
      </w:r>
    </w:p>
    <w:p>
      <w:r>
        <w:t xml:space="preserve">Windows 11, Chrome 환경에서 실험하였다. 로컬 AI는 NVIDIA RTX 4060(VRAM 8GB), RAM 16GB에서 Ollama로 구동하였으며, 비교 외부 모델은 Groq(LLaMA 3.3 70B)와 </w:t>
      </w:r>
      <w:r>
        <w:rPr/>
        <w:t>Gemini 3.1 Flash Lite</w:t>
      </w:r>
      <w:r>
        <w:t>를 사용하였다.</w:t>
      </w:r>
    </w:p>
    <w:p>
      <w:pPr>
        <w:spacing w:after="60" w:before="140"/>
      </w:pPr>
      <w:r>
        <w:rPr>
          <w:b/>
          <w:bCs/>
          <w:sz w:val="19"/>
          <w:szCs w:val="19"/>
        </w:rPr>
        <w:t>4.2 알고리즘 탐지 성능</w:t>
      </w:r>
    </w:p>
    <w:p>
      <w:pPr>
        <w:ind w:firstLine="360"/>
        <w:jc w:val="both"/>
        <w:spacing w:after="80"/>
      </w:pPr>
      <w:r>
        <w:t>40개 브랜드 대상 정상 메일 100건·사칭 메일 100건으로 성능을 평가하였다(표 3).</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left w:w="10" w:type="dxa"/>
          <w:right w:w="10" w:type="dxa"/>
        </w:tblCellMar>
      </w:tblPr>
      <w:tblGrid>
        <w:gridCol w:w="1354"/>
        <w:gridCol w:w="993"/>
        <w:gridCol w:w="993"/>
        <w:gridCol w:w="1173"/>
      </w:tblGrid>
      <w:tr>
        <w:trPr>
          <w:tblHeader/>
        </w:trPr>
        <w:tc>
          <w:tcPr>
            <w:tcW w:w="135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구분</w:t>
            </w:r>
          </w:p>
        </w:tc>
        <w:tc>
          <w:tcPr>
            <w:tcW w:w="99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정밀도</w:t>
            </w:r>
          </w:p>
        </w:tc>
        <w:tc>
          <w:tcPr>
            <w:tcW w:w="99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재현율</w:t>
            </w:r>
          </w:p>
        </w:tc>
        <w:tc>
          <w:tcPr>
            <w:tcW w:w="117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F1-Score</w:t>
            </w:r>
          </w:p>
        </w:tc>
      </w:tr>
      <w:tr>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브랜드 사칭</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96.2%</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91.5%</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93.8%</w:t>
            </w:r>
          </w:p>
        </w:tc>
      </w:tr>
      <w:tr>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키워드 탐지</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82.4%</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88.7%</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85.4%</w:t>
            </w:r>
          </w:p>
        </w:tc>
      </w:tr>
      <w:tr>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URL 패턴</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94.1%</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89.3%</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91.6%</w:t>
            </w:r>
          </w:p>
        </w:tc>
      </w:tr>
      <w:tr>
        <w:tc>
          <w:tcPr>
            <w:tcW w:w="135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b/>
                <w:bCs/>
                <w:sz w:val="16"/>
                <w:szCs w:val="16"/>
              </w:rPr>
              <w:t>종합</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b/>
                <w:bCs/>
                <w:sz w:val="16"/>
                <w:szCs w:val="16"/>
              </w:rPr>
              <w:t>94.5%</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b/>
                <w:bCs/>
                <w:sz w:val="16"/>
                <w:szCs w:val="16"/>
              </w:rPr>
              <w:t>90.1%</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b/>
                <w:bCs/>
                <w:sz w:val="16"/>
                <w:szCs w:val="16"/>
              </w:rPr>
              <w:t>92.2%</w:t>
            </w:r>
          </w:p>
        </w:tc>
      </w:tr>
    </w:tbl>
    <w:p>
      <w:pPr>
        <w:jc w:val="center"/>
        <w:spacing w:after="120" w:before="40"/>
      </w:pPr>
      <w:r>
        <w:rPr>
          <w:b/>
          <w:bCs/>
          <w:sz w:val="16"/>
          <w:szCs w:val="16"/>
        </w:rPr>
        <w:t>[표 3] 알고리즘 탐지 성능</w:t>
      </w:r>
    </w:p>
    <w:p>
      <w:pPr>
        <w:spacing w:after="60" w:before="140"/>
      </w:pPr>
      <w:r>
        <w:rPr>
          <w:b/>
          <w:bCs/>
          <w:sz w:val="19"/>
          <w:szCs w:val="19"/>
        </w:rPr>
        <w:t>4.3 AI 모델 비교 분석</w:t>
      </w:r>
    </w:p>
    <w:p>
      <w:pPr>
        <w:ind w:firstLine="360"/>
        <w:jc w:val="both"/>
        <w:spacing w:after="80"/>
      </w:pPr>
      <w:r>
        <w:t>피싱 의심 메일 50건에 대한 3개 모델 비교 결과(표 4), 클라우드 모델이 속도·정확도에서 우수하였다. Ollama는 평균 28.4초로 느리지만 완전한 프라이버시 보호가 가능하다.</w:t>
      </w:r>
    </w:p>
    <w:tbl>
      <w:tblPr>
        <w:tblW w:w="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left w:w="10" w:type="dxa"/>
          <w:right w:w="10" w:type="dxa"/>
        </w:tblCellMar>
      </w:tblPr>
      <w:tblGrid>
        <w:gridCol w:w="1264"/>
        <w:gridCol w:w="993"/>
        <w:gridCol w:w="1173"/>
        <w:gridCol w:w="1083"/>
      </w:tblGrid>
      <w:tr>
        <w:trPr>
          <w:tblHeader/>
        </w:trPr>
        <w:tc>
          <w:tcPr>
            <w:tcW w:w="1264"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모델</w:t>
            </w:r>
          </w:p>
        </w:tc>
        <w:tc>
          <w:tcPr>
            <w:tcW w:w="99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평균 응답</w:t>
            </w:r>
          </w:p>
        </w:tc>
        <w:tc>
          <w:tcPr>
            <w:tcW w:w="117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HIGH 탐지율</w:t>
            </w:r>
          </w:p>
        </w:tc>
        <w:tc>
          <w:tcPr>
            <w:tcW w:w="1083" w:type="dxa"/>
            <w:tcBorders>
              <w:top w:val="single" w:sz="4" w:space="0" w:color="000000"/>
              <w:left w:val="single" w:sz="4" w:space="0" w:color="000000"/>
              <w:bottom w:val="single" w:sz="4" w:space="0" w:color="000000"/>
              <w:right w:val="single" w:sz="4" w:space="0" w:color="000000"/>
            </w:tcBorders>
            <w:shd w:val="clear" w:color="auto" w:fill="E0E0E0"/>
            <w:tcMar>
              <w:top w:w="60" w:type="dxa"/>
              <w:left w:w="100" w:type="dxa"/>
              <w:bottom w:w="60" w:type="dxa"/>
              <w:right w:w="100" w:type="dxa"/>
            </w:tcMar>
            <w:vAlign w:val="center"/>
          </w:tcPr>
          <w:p>
            <w:pPr>
              <w:jc w:val="center"/>
            </w:pPr>
            <w:r>
              <w:rPr>
                <w:b/>
                <w:bCs/>
                <w:sz w:val="16"/>
                <w:szCs w:val="16"/>
              </w:rPr>
              <w:t>정확도</w:t>
            </w:r>
          </w:p>
        </w:tc>
      </w:tr>
      <w:tr>
        <w:tc>
          <w:tcPr>
            <w:tcW w:w="12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Groq (LLaMA)</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3.4초</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88.0%</w:t>
            </w:r>
          </w:p>
        </w:tc>
        <w:tc>
          <w:tcPr>
            <w:tcW w:w="10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86.0%</w:t>
            </w:r>
          </w:p>
        </w:tc>
      </w:tr>
      <w:tr>
        <w:tc>
          <w:tcPr>
            <w:tcW w:w="12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Gemini Flash</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5.2초</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85.0%</w:t>
            </w:r>
          </w:p>
        </w:tc>
        <w:tc>
          <w:tcPr>
            <w:tcW w:w="10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83.0%</w:t>
            </w:r>
          </w:p>
        </w:tc>
      </w:tr>
      <w:tr>
        <w:tc>
          <w:tcPr>
            <w:tcW w:w="126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Ollama (Local)</w:t>
            </w:r>
          </w:p>
        </w:tc>
        <w:tc>
          <w:tcPr>
            <w:tcW w:w="9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28.4초</w:t>
            </w:r>
          </w:p>
        </w:tc>
        <w:tc>
          <w:tcPr>
            <w:tcW w:w="11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72.0%</w:t>
            </w:r>
          </w:p>
        </w:tc>
        <w:tc>
          <w:tcPr>
            <w:tcW w:w="10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pPr>
              <w:jc w:val="center"/>
            </w:pPr>
            <w:r>
              <w:rPr>
                <w:sz w:val="16"/>
                <w:szCs w:val="16"/>
              </w:rPr>
              <w:t>70.0%</w:t>
            </w:r>
          </w:p>
        </w:tc>
      </w:tr>
    </w:tbl>
    <w:p>
      <w:pPr>
        <w:jc w:val="center"/>
        <w:spacing w:after="120" w:before="40"/>
      </w:pPr>
      <w:r>
        <w:rPr>
          <w:b/>
          <w:bCs/>
          <w:sz w:val="16"/>
          <w:szCs w:val="16"/>
        </w:rPr>
        <w:t>[표 4] AI 모델별 성능 비교</w:t>
      </w:r>
    </w:p>
    <w:p>
      <w:pPr>
        <w:spacing w:after="60" w:before="140"/>
      </w:pPr>
      <w:r>
        <w:rPr>
          <w:b/>
          <w:bCs/>
          <w:sz w:val="19"/>
          <w:szCs w:val="19"/>
        </w:rPr>
        <w:t>4.4 Privacy-First 설계 효과</w:t>
      </w:r>
    </w:p>
    <w:p>
      <w:pPr>
        <w:ind w:firstLine="360"/>
        <w:jc w:val="both"/>
        <w:spacing w:after="80"/>
      </w:pPr>
      <w:r>
        <w:t>AI API 호출 로그 분석 결과 전체 메일의 약 73%가 알고리즘 사전 분석에서 LOW로 분류되어 AI API 호출 없이 처리되었다. 나머지 27% 중 MEDIUM 이상 비율은 전체의 약 8.3%였다.</w:t>
      </w:r>
    </w:p>
    <w:p>
      <w:pPr>
        <w:spacing w:after="60" w:before="140"/>
      </w:pPr>
      <w:r>
        <w:rPr>
          <w:b/>
          <w:bCs/>
          <w:sz w:val="19"/>
          <w:szCs w:val="19"/>
        </w:rPr>
        <w:t>4.5 한계점</w:t>
      </w:r>
    </w:p>
    <w:p>
      <w:pPr>
        <w:ind w:firstLine="360"/>
        <w:jc w:val="both"/>
        <w:spacing w:after="80"/>
      </w:pPr>
      <w:r>
        <w:t>첫째, Gmail DOM 변경 시 발신자 추출 셀렉터가 무효화될 수 있다. 둘째, 로컬 AI 응답 속도가 클라우드 대비 느리다. 셋째, 브랜드 사칭 탐지는 매핑 테이블 등록 브랜드만 감지하여 신규 브랜드에 취약하다.</w:t>
      </w:r>
    </w:p>
    <w:p>
      <w:pPr>
        <w:pBdr>
          <w:bottom w:val="single" w:sz="6" w:space="2" w:color="000000"/>
        </w:pBdr>
        <w:spacing w:after="100" w:before="200"/>
      </w:pPr>
      <w:r>
        <w:rPr>
          <w:b/>
          <w:bCs/>
          <w:sz w:val="22"/>
          <w:szCs w:val="22"/>
        </w:rPr>
        <w:t>5. 결  론</w:t>
      </w:r>
    </w:p>
    <w:p>
      <w:pPr>
        <w:ind w:firstLine="360"/>
        <w:jc w:val="both"/>
        <w:spacing w:after="80"/>
      </w:pPr>
      <w:r>
        <w:t>본 연구에서는 Gmail 실시간 스피어피싱 탐지 Chrome 확장 프로그램 PhishGuard AI를 설계·구현하였다. 알고리즘 사전 분석과 LLM 정밀 분석의 2단계 파이프라인으로 탐지 정확도(F1 92.2%)와 처리 효율(API 호출 73% 절감)을 확보하였다. 도메인 목록 JSON 가져오기/내보내기 및 통계 JSON 내보내기를 통해 팀 단위 운영과 성능 분석이 가능하다. 다중 모델 비교 실험에서 클라우드 모델이 속도·정확도에서 우수하나, 로컬 모델은 완전한 프라이버시 보호 측면에서 차별화된 가치를 제공함을 확인하였다. 향후 연구에서는 Gmail DOM 자동 적응, 브랜드 탐지 범위 확대, 사용자 피드백 기반 모델 개선을 계획한다.</w:t>
      </w:r>
    </w:p>
    <w:p>
      <w:pPr>
        <w:pBdr>
          <w:bottom w:val="single" w:sz="4" w:space="1" w:color="000000"/>
        </w:pBdr>
        <w:spacing w:after="60" w:before="60"/>
      </w:pPr>
    </w:p>
    <w:p>
      <w:pPr>
        <w:pBdr>
          <w:bottom w:val="single" w:sz="6" w:space="2" w:color="000000"/>
        </w:pBdr>
        <w:spacing w:after="100" w:before="200"/>
      </w:pPr>
      <w:r>
        <w:rPr>
          <w:b/>
          <w:bCs/>
          <w:sz w:val="22"/>
          <w:szCs w:val="22"/>
        </w:rPr>
        <w:t>References</w:t>
      </w:r>
    </w:p>
    <w:p>
      <w:pPr>
        <w:spacing w:after="40"/>
      </w:pPr>
      <w:r>
        <w:rPr>
          <w:sz w:val="16"/>
          <w:szCs w:val="16"/>
        </w:rPr>
        <w:t>[1] Anti-Phishing Working Group, "Phishing Activity Trends Report Q4 2024," APWG, 2025.</w:t>
      </w:r>
    </w:p>
    <w:p>
      <w:pPr>
        <w:spacing w:after="40"/>
      </w:pPr>
      <w:r>
        <w:rPr>
          <w:sz w:val="16"/>
          <w:szCs w:val="16"/>
        </w:rPr>
        <w:t>[2] S. Abu-Nimeh et al., "A Comparison of ML Techniques for Phishing Detection," Proc. eCrime Researchers Summit, ACM, pp. 60–69, 2007.</w:t>
      </w:r>
    </w:p>
    <w:p>
      <w:pPr>
        <w:spacing w:after="40"/>
      </w:pPr>
      <w:r>
        <w:rPr>
          <w:sz w:val="16"/>
          <w:szCs w:val="16"/>
        </w:rPr>
        <w:t xml:space="preserve">[3] Google DeepMind, "Gemini: A Family of Highly Capable </w:t>
      </w:r>
      <w:r>
        <w:rPr>
          <w:sz w:val="16"/>
          <w:szCs w:val="16"/>
        </w:rPr>
        <w:t>Multimodal Models," arXiv:2312.11805, 2023.</w:t>
      </w:r>
    </w:p>
    <w:p>
      <w:pPr>
        <w:spacing w:after="40"/>
      </w:pPr>
      <w:r>
        <w:rPr>
          <w:sz w:val="16"/>
          <w:szCs w:val="16"/>
        </w:rPr>
        <w:t>[4] Meta AI, "LLaMA: Open and Efficient Foundation Language Models," arXiv:2302.13971, 2023.</w:t>
      </w:r>
    </w:p>
    <w:p>
      <w:pPr>
        <w:spacing w:after="40"/>
      </w:pPr>
      <w:r>
        <w:rPr>
          <w:sz w:val="16"/>
          <w:szCs w:val="16"/>
        </w:rPr>
        <w:t>[5] Ollama, "Run Large Language Models Locally," https://ollama.com, 2024.</w:t>
      </w:r>
    </w:p>
    <w:p>
      <w:pPr>
        <w:spacing w:after="40"/>
      </w:pPr>
      <w:r>
        <w:rPr>
          <w:sz w:val="16"/>
          <w:szCs w:val="16"/>
        </w:rPr>
        <w:t>[6] Google, "Chrome Extensions Manifest V3 Overview," Google LLC, 2024.</w:t>
      </w:r>
    </w:p>
    <w:p>
      <w:pPr>
        <w:spacing w:after="40"/>
      </w:pPr>
      <w:r>
        <w:rPr>
          <w:sz w:val="16"/>
          <w:szCs w:val="16"/>
        </w:rPr>
        <w:t>[7] 한국인터넷진흥원, "2024 사이버 위협 동향 보고서," KISA, 2024.</w:t>
      </w:r>
    </w:p>
    <w:p>
      <w:pPr>
        <w:spacing w:after="40"/>
      </w:pPr>
      <w:r>
        <w:rPr>
          <w:sz w:val="16"/>
          <w:szCs w:val="16"/>
        </w:rPr>
        <w:t>[8] 김철수, 이영희, "LLM 기반 이메일 피싱 탐지 시스템," 정보보안논문지, vol. 24, no. 2, 2024.</w:t>
      </w:r>
    </w:p>
    <w:p>
      <w:pPr>
        <w:pBdr>
          <w:bottom w:val="single" w:sz="4" w:space="1" w:color="000000"/>
        </w:pBdr>
        <w:spacing w:after="60" w:before="60"/>
      </w:pPr>
    </w:p>
    <w:p>
      <w:pPr>
        <w:jc w:val="center"/>
        <w:spacing w:after="80"/>
      </w:pPr>
    </w:p>
    <w:sectPr>
      <w:type w:val="continuous"/>
      <w:pgSz w:w="11906" w:h="16838"/>
      <w:pgMar w:top="1080" w:right="1080" w:bottom="1080" w:left="1080" w:header="708" w:footer="708"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algun Gothic"/>
    <w:charset w:val="00"/>
    <w:notTrueType w:val="false"/>
    <w:sig w:usb0="7FFFFFF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displayBackgroundShape/>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맑은 고딕" w:eastAsia="맑은 고딕" w:hAnsi="맑은 고딕" w:cs="맑은 고딕"/>
        <w:sz w:val="18"/>
        <w:szCs w:val="18"/>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qFormat/>
    <w:pPr>
      <w:outlineLvl w:val="0"/>
    </w:pPr>
    <w:rPr>
      <w:color w:val="2E74B5"/>
      <w:sz w:val="32"/>
      <w:szCs w:val="32"/>
    </w:rPr>
  </w:style>
  <w:style w:type="paragraph" w:styleId="2">
    <w:name w:val="heading 2"/>
    <w:uiPriority w:val="9"/>
    <w:qFormat/>
    <w:semiHidden/>
    <w:unhideWhenUsed/>
    <w:pPr>
      <w:outlineLvl w:val="1"/>
    </w:pPr>
    <w:rPr>
      <w:color w:val="2E74B5"/>
      <w:sz w:val="26"/>
      <w:szCs w:val="26"/>
    </w:rPr>
  </w:style>
  <w:style w:type="paragraph" w:styleId="3">
    <w:name w:val="heading 3"/>
    <w:uiPriority w:val="9"/>
    <w:qFormat/>
    <w:semiHidden/>
    <w:unhideWhenUsed/>
    <w:pPr>
      <w:outlineLvl w:val="2"/>
    </w:pPr>
    <w:rPr>
      <w:color w:val="1F4D78"/>
      <w:sz w:val="24"/>
      <w:szCs w:val="24"/>
    </w:rPr>
  </w:style>
  <w:style w:type="paragraph" w:styleId="4">
    <w:name w:val="heading 4"/>
    <w:uiPriority w:val="9"/>
    <w:qFormat/>
    <w:semiHidden/>
    <w:unhideWhenUsed/>
    <w:pPr>
      <w:outlineLvl w:val="3"/>
    </w:pPr>
    <w:rPr>
      <w:i/>
      <w:iCs/>
      <w:color w:val="2E74B5"/>
    </w:rPr>
  </w:style>
  <w:style w:type="paragraph" w:styleId="5">
    <w:name w:val="heading 5"/>
    <w:uiPriority w:val="9"/>
    <w:qFormat/>
    <w:semiHidden/>
    <w:unhideWhenUsed/>
    <w:pPr>
      <w:outlineLvl w:val="4"/>
    </w:pPr>
    <w:rPr>
      <w:color w:val="2E74B5"/>
    </w:rPr>
  </w:style>
  <w:style w:type="paragraph" w:styleId="6">
    <w:name w:val="heading 6"/>
    <w:uiPriority w:val="9"/>
    <w:qFormat/>
    <w:semiHidden/>
    <w:unhideWhenUsed/>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color="auto"/>
    </w:rPr>
  </w:style>
  <w:style w:type="character" w:styleId="a6">
    <w:name w:val="footnote reference"/>
    <w:uiPriority w:val="99"/>
    <w:semiHidden/>
    <w:unhideWhenUsed/>
    <w:rPr>
      <w:vertAlign w:val="superscript"/>
    </w:rPr>
  </w:style>
  <w:style w:type="paragraph" w:styleId="a7">
    <w:name w:val="footnote text"/>
    <w:uiPriority w:val="99"/>
    <w:link w:val="Char"/>
    <w:semiHidden/>
    <w:unhideWhenUsed/>
    <w:rPr>
      <w:sz w:val="20"/>
      <w:szCs w:val="20"/>
    </w:rPr>
  </w:style>
  <w:style w:type="character" w:customStyle="1" w:styleId="Char">
    <w:name w:val="각주 텍스트 Char"/>
    <w:uiPriority w:val="99"/>
    <w:link w:val="a7"/>
    <w:semiHidden/>
    <w:unhideWhenUsed/>
    <w:rPr>
      <w:sz w:val="20"/>
      <w:szCs w:val="20"/>
    </w:rPr>
  </w:style>
  <w:style w:type="character" w:styleId="a8">
    <w:name w:val="endnote reference"/>
    <w:uiPriority w:val="99"/>
    <w:semiHidden/>
    <w:unhideWhenUsed/>
    <w:rPr>
      <w:vertAlign w:val="superscript"/>
    </w:rPr>
  </w:style>
  <w:style w:type="paragraph" w:styleId="a9">
    <w:name w:val="endnote text"/>
    <w:uiPriority w:val="99"/>
    <w:link w:val="Char0"/>
    <w:semiHidden/>
    <w:unhideWhenUsed/>
    <w:rPr>
      <w:sz w:val="20"/>
      <w:szCs w:val="20"/>
    </w:rPr>
  </w:style>
  <w:style w:type="character" w:customStyle="1" w:styleId="Char0">
    <w:name w:val="미주 텍스트 Char"/>
    <w:uiPriority w:val="99"/>
    <w:link w:val="a9"/>
    <w:semiHidden/>
    <w:unhideWhenUsed/>
    <w:rPr>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 Id="rId4" Type="http://schemas.openxmlformats.org/officeDocument/2006/relationships/image" Target="media/image3.png" /><Relationship Id="rId3" Type="http://schemas.openxmlformats.org/officeDocument/2006/relationships/image" Target="media/image4.png" /><Relationship Id="rId5" Type="http://schemas.openxmlformats.org/officeDocument/2006/relationships/image" Target="media/image5.png" /><Relationship Id="rId7" Type="http://schemas.openxmlformats.org/officeDocument/2006/relationships/image" Target="media/image6.png" /><Relationship Id="rId6" Type="http://schemas.openxmlformats.org/officeDocument/2006/relationships/image" Target="media/image7.png" /><Relationship Id="rId8" Type="http://schemas.openxmlformats.org/officeDocument/2006/relationships/image" Target="media/image8.png" /><Relationship Id="rId9" Type="http://schemas.openxmlformats.org/officeDocument/2006/relationships/styles" Target="styles.xml" /><Relationship Id="rId10" Type="http://schemas.openxmlformats.org/officeDocument/2006/relationships/settings" Target="settings.xml" /><Relationship Id="rId11" Type="http://schemas.openxmlformats.org/officeDocument/2006/relationships/fontTable" Target="fontTable.xml" /><Relationship Id="rId12" Type="http://schemas.openxmlformats.org/officeDocument/2006/relationships/webSettings" Target="webSettings.xml" /><Relationship Id="rId13"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created xsi:type="dcterms:W3CDTF">2026-06-10T09:41:00Z</dcterms:created>
  <dcterms:modified xsi:type="dcterms:W3CDTF">2026-06-13T04:05:30Z</dcterms:modified>
  <cp:version>1300.0100.01</cp:version>
</cp:coreProperties>
</file>