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c="http://schemas.openxmlformats.org/drawingml/2006/chart" mc:Ignorable="w14 w15 w16se wp14">
  <w:body>
    <w:p>
      <w:pPr>
        <w:pStyle w:val="Title"/>
      </w:pPr>
      <w:r>
        <w:rPr/>
        <w:t xml:space="preserve">PanierClair — Plan d'Affaires 2026</w:t>
      </w:r>
    </w:p>
    <w:p>
      <w:pPr>
        <w:pStyle w:val="TOCHeading"/>
      </w:pPr>
      <w:r>
        <w:t>Table des matières</w:t>
      </w:r>
    </w:p>
    <w:p>
      <w:pPr>
        <w:pStyle w:val="TOC1"/>
      </w:pPr>
      <w:fldSimple w:instr=" TOC \o &quot;1-3&quot; \h \z \u ">
        <w:r>
          <w:rPr>
            <w:noProof/>
          </w:rPr>
          <w:t>[ Mettre à jour la table des matières dans Word : clic droit → Mettre à jour les champs ]</w:t>
        </w:r>
      </w:fldSimple>
    </w:p>
    <w:p>
      <w:r>
        <w:br w:type="page"/>
      </w:r>
    </w:p>
    <w:p>
      <w:pPr>
        <w:pStyle w:val="Heading1"/>
      </w:pPr>
      <w:r>
        <w:rPr/>
        <w:t xml:space="preserve">1. Sommaire Exécutif</w:t>
      </w:r>
    </w:p>
    <w:p>
      <w:pPr>
        <w:pStyle w:val="Normal"/>
      </w:pPr>
      <w:r>
        <w:rPr/>
        <w:t xml:space="preserve">PanierClair est une application SaaS mobile et web en français qui aide les familles canadiennes-françaises à gérer leur budget d'épicerie. Dans un contexte où l'inflation alimentaire a dépassé 8 % au Canada en 2023–2024, les ménages cherchent activement des outils pour contrôler leurs dépenses sans sacrifier la qualité de leur alimentation.</w:t>
      </w:r>
    </w:p>
    <w:p>
      <w:pPr>
        <w:pStyle w:val="Normal"/>
      </w:pPr>
      <w:r>
        <w:rPr/>
        <w:t xml:space="preserve">Fondée à Montréal, PanierClair propose une solution intuitive combinant liste de courses intelligente, suivi des dépenses en temps réel, alertes budgétaires personnalisées et suggestions de recettes adaptées au budget disponible. L'interface entièrement francophone et l'intégration avec les circulaires des épiceries québécoises différencient PanierClair de tous les concurrents anglophones existants.</w:t>
      </w:r>
    </w:p>
    <w:p>
      <w:pPr>
        <w:pStyle w:val="Normal"/>
      </w:pPr>
      <w:r>
        <w:rPr/>
        <w:t xml:space="preserve">Nous recherchons un financement Série A de 800 000 $ pour accélérer notre croissance, atteindre 42 000 utilisateurs actifs en an 3 et 544 200 $ de revenus annuels, avec un retour à la rentabilité projeté en an 4.</w:t>
      </w:r>
    </w:p>
    <w:p>
      <w:pPr>
        <w:pStyle w:val="Heading1"/>
      </w:pPr>
      <w:r>
        <w:rPr/>
        <w:t xml:space="preserve">2. Description de l'Entreprise</w:t>
      </w:r>
    </w:p>
    <w:tbl>
      <w:tblPr>
        <w:tblStyle w:val="TableGrid"/>
        <w:tblW w:w="9360" w:type="dxa"/>
        <w:tblLook w:val="04A0" w:firstRow="1" w:lastRow="0" w:firstColumn="1" w:lastColumn="0" w:noHBand="0" w:noVBand="1"/>
      </w:tblPr>
      <w:tr>
        <w:trPr>
          <w:tblHeader/>
        </w:trPr>
        <w:tc>
          <w:tcPr>
            <w:shd w:val="clear" w:color="auto" w:fill="1F5C99"/>
          </w:tcPr>
          <w:p>
            <w:pPr>
              <w:jc w:val="center"/>
            </w:pPr>
            <w:r>
              <w:rPr>
                <w:b/>
                <w:color w:val="FFFFFF"/>
              </w:rPr>
              <w:t>Attribut</w:t>
            </w:r>
          </w:p>
        </w:tc>
        <w:tc>
          <w:tcPr>
            <w:shd w:val="clear" w:color="auto" w:fill="1F5C99"/>
          </w:tcPr>
          <w:p>
            <w:pPr>
              <w:jc w:val="center"/>
            </w:pPr>
            <w:r>
              <w:rPr>
                <w:b/>
                <w:color w:val="FFFFFF"/>
              </w:rPr>
              <w:t>Détail</w:t>
            </w:r>
          </w:p>
        </w:tc>
      </w:tr>
      <w:tr>
        <w:tc>
          <w:tcPr>
            <w:shd w:val="clear" w:color="auto" w:fill="DEEAF1"/>
          </w:tcPr>
          <w:p>
            <w:r>
              <w:rPr/>
              <w:t xml:space="preserve">Nom commercial</w:t>
            </w:r>
          </w:p>
        </w:tc>
        <w:tc>
          <w:tcPr>
            <w:shd w:val="clear" w:color="auto" w:fill="DEEAF1"/>
          </w:tcPr>
          <w:p>
            <w:r>
              <w:rPr/>
              <w:t xml:space="preserve">PanierClair</w:t>
            </w:r>
          </w:p>
        </w:tc>
      </w:tr>
      <w:tr>
        <w:tc>
          <w:tcPr>
            <w:shd w:val="clear" w:color="auto" w:fill="FFFFFF"/>
          </w:tcPr>
          <w:p>
            <w:r>
              <w:rPr/>
              <w:t xml:space="preserve">Forme juridique</w:t>
            </w:r>
          </w:p>
        </w:tc>
        <w:tc>
          <w:tcPr>
            <w:shd w:val="clear" w:color="auto" w:fill="FFFFFF"/>
          </w:tcPr>
          <w:p>
            <w:r>
              <w:rPr/>
              <w:t xml:space="preserve">Société par actions (SPA) — Québec</w:t>
            </w:r>
          </w:p>
        </w:tc>
      </w:tr>
      <w:tr>
        <w:tc>
          <w:tcPr>
            <w:shd w:val="clear" w:color="auto" w:fill="DEEAF1"/>
          </w:tcPr>
          <w:p>
            <w:r>
              <w:rPr/>
              <w:t xml:space="preserve">Siège social</w:t>
            </w:r>
          </w:p>
        </w:tc>
        <w:tc>
          <w:tcPr>
            <w:shd w:val="clear" w:color="auto" w:fill="DEEAF1"/>
          </w:tcPr>
          <w:p>
            <w:r>
              <w:rPr/>
              <w:t xml:space="preserve">Montréal, Québec, Canada</w:t>
            </w:r>
          </w:p>
        </w:tc>
      </w:tr>
      <w:tr>
        <w:tc>
          <w:tcPr>
            <w:shd w:val="clear" w:color="auto" w:fill="FFFFFF"/>
          </w:tcPr>
          <w:p>
            <w:r>
              <w:rPr/>
              <w:t xml:space="preserve">Secteur</w:t>
            </w:r>
          </w:p>
        </w:tc>
        <w:tc>
          <w:tcPr>
            <w:shd w:val="clear" w:color="auto" w:fill="FFFFFF"/>
          </w:tcPr>
          <w:p>
            <w:r>
              <w:rPr/>
              <w:t xml:space="preserve">FinTech — Gestion de budget personnel</w:t>
            </w:r>
          </w:p>
        </w:tc>
      </w:tr>
      <w:tr>
        <w:tc>
          <w:tcPr>
            <w:shd w:val="clear" w:color="auto" w:fill="DEEAF1"/>
          </w:tcPr>
          <w:p>
            <w:r>
              <w:rPr/>
              <w:t xml:space="preserve">Stade</w:t>
            </w:r>
          </w:p>
        </w:tc>
        <w:tc>
          <w:tcPr>
            <w:shd w:val="clear" w:color="auto" w:fill="DEEAF1"/>
          </w:tcPr>
          <w:p>
            <w:r>
              <w:rPr/>
              <w:t xml:space="preserve">Pré-lancement / amorçage (seed)</w:t>
            </w:r>
          </w:p>
        </w:tc>
      </w:tr>
      <w:tr>
        <w:tc>
          <w:tcPr>
            <w:shd w:val="clear" w:color="auto" w:fill="FFFFFF"/>
          </w:tcPr>
          <w:p>
            <w:r>
              <w:rPr/>
              <w:t xml:space="preserve">Mission</w:t>
            </w:r>
          </w:p>
        </w:tc>
        <w:tc>
          <w:tcPr>
            <w:shd w:val="clear" w:color="auto" w:fill="FFFFFF"/>
          </w:tcPr>
          <w:p>
            <w:r>
              <w:rPr/>
              <w:t xml:space="preserve">Rendre la gestion du budget alimentaire simple, transparente et accessible</w:t>
            </w:r>
          </w:p>
        </w:tc>
      </w:tr>
      <w:tr>
        <w:tc>
          <w:tcPr>
            <w:shd w:val="clear" w:color="auto" w:fill="DEEAF1"/>
          </w:tcPr>
          <w:p>
            <w:r>
              <w:rPr/>
              <w:t xml:space="preserve">Langues</w:t>
            </w:r>
          </w:p>
        </w:tc>
        <w:tc>
          <w:tcPr>
            <w:shd w:val="clear" w:color="auto" w:fill="DEEAF1"/>
          </w:tcPr>
          <w:p>
            <w:r>
              <w:rPr/>
              <w:t xml:space="preserve">100 % français canadien</w:t>
            </w:r>
          </w:p>
        </w:tc>
      </w:tr>
    </w:tbl>
    <w:p>
      <w:pPr>
        <w:pStyle w:val="Heading1"/>
      </w:pPr>
      <w:r>
        <w:rPr/>
        <w:t xml:space="preserve">3. Analyse du Marché</w:t>
      </w:r>
    </w:p>
    <w:p>
      <w:pPr>
        <w:pStyle w:val="Heading2"/>
      </w:pPr>
      <w:r>
        <w:rPr/>
        <w:t xml:space="preserve">Taille du marché (TAM / SAM / SOM)</w:t>
      </w:r>
    </w:p>
    <w:tbl>
      <w:tblPr>
        <w:tblStyle w:val="TableGrid"/>
        <w:tblW w:w="9360" w:type="dxa"/>
        <w:tblLook w:val="04A0" w:firstRow="1" w:lastRow="0" w:firstColumn="1" w:lastColumn="0" w:noHBand="0" w:noVBand="1"/>
      </w:tblPr>
      <w:tr>
        <w:trPr>
          <w:tblHeader/>
        </w:trPr>
        <w:tc>
          <w:tcPr>
            <w:shd w:val="clear" w:color="auto" w:fill="1F5C99"/>
          </w:tcPr>
          <w:p>
            <w:pPr>
              <w:jc w:val="center"/>
            </w:pPr>
            <w:r>
              <w:rPr>
                <w:b/>
                <w:color w:val="FFFFFF"/>
              </w:rPr>
              <w:t>Segment</w:t>
            </w:r>
          </w:p>
        </w:tc>
        <w:tc>
          <w:tcPr>
            <w:shd w:val="clear" w:color="auto" w:fill="1F5C99"/>
          </w:tcPr>
          <w:p>
            <w:pPr>
              <w:jc w:val="center"/>
            </w:pPr>
            <w:r>
              <w:rPr>
                <w:b/>
                <w:color w:val="FFFFFF"/>
              </w:rPr>
              <w:t>Définition</w:t>
            </w:r>
          </w:p>
        </w:tc>
        <w:tc>
          <w:tcPr>
            <w:shd w:val="clear" w:color="auto" w:fill="1F5C99"/>
          </w:tcPr>
          <w:p>
            <w:pPr>
              <w:jc w:val="center"/>
            </w:pPr>
            <w:r>
              <w:rPr>
                <w:b/>
                <w:color w:val="FFFFFF"/>
              </w:rPr>
              <w:t>Valeur estimée</w:t>
            </w:r>
          </w:p>
        </w:tc>
      </w:tr>
      <w:tr>
        <w:tc>
          <w:tcPr>
            <w:shd w:val="clear" w:color="auto" w:fill="DEEAF1"/>
          </w:tcPr>
          <w:p>
            <w:r>
              <w:rPr/>
              <w:t xml:space="preserve">TAM — Marché Total Adressable</w:t>
            </w:r>
          </w:p>
        </w:tc>
        <w:tc>
          <w:tcPr>
            <w:shd w:val="clear" w:color="auto" w:fill="DEEAF1"/>
          </w:tcPr>
          <w:p>
            <w:r>
              <w:rPr/>
              <w:t xml:space="preserve">Tous les ménages canadiens avec smartphone utilisant une app de budget ou d'épicerie</w:t>
            </w:r>
          </w:p>
        </w:tc>
        <w:tc>
          <w:tcPr>
            <w:shd w:val="clear" w:color="auto" w:fill="DEEAF1"/>
          </w:tcPr>
          <w:p>
            <w:r>
              <w:rPr/>
              <w:t xml:space="preserve">2,1 milliards $</w:t>
            </w:r>
          </w:p>
        </w:tc>
      </w:tr>
      <w:tr>
        <w:tc>
          <w:tcPr>
            <w:shd w:val="clear" w:color="auto" w:fill="FFFFFF"/>
          </w:tcPr>
          <w:p>
            <w:r>
              <w:rPr/>
              <w:t xml:space="preserve">SAM — Marché Accessible</w:t>
            </w:r>
          </w:p>
        </w:tc>
        <w:tc>
          <w:tcPr>
            <w:shd w:val="clear" w:color="auto" w:fill="FFFFFF"/>
          </w:tcPr>
          <w:p>
            <w:r>
              <w:rPr/>
              <w:t xml:space="preserve">Ménages francophones au Québec et en Ontario cherchant une solution francophone</w:t>
            </w:r>
          </w:p>
        </w:tc>
        <w:tc>
          <w:tcPr>
            <w:shd w:val="clear" w:color="auto" w:fill="FFFFFF"/>
          </w:tcPr>
          <w:p>
            <w:r>
              <w:rPr/>
              <w:t xml:space="preserve">420 millions $</w:t>
            </w:r>
          </w:p>
        </w:tc>
      </w:tr>
      <w:tr>
        <w:tc>
          <w:tcPr>
            <w:shd w:val="clear" w:color="auto" w:fill="DEEAF1"/>
          </w:tcPr>
          <w:p>
            <w:r>
              <w:rPr/>
              <w:t xml:space="preserve">SOM — Marché Cible</w:t>
            </w:r>
          </w:p>
        </w:tc>
        <w:tc>
          <w:tcPr>
            <w:shd w:val="clear" w:color="auto" w:fill="DEEAF1"/>
          </w:tcPr>
          <w:p>
            <w:r>
              <w:rPr/>
              <w:t xml:space="preserve">Part de marché réaliste sur 3 ans avec les ressources actuelles</w:t>
            </w:r>
          </w:p>
        </w:tc>
        <w:tc>
          <w:tcPr>
            <w:shd w:val="clear" w:color="auto" w:fill="DEEAF1"/>
          </w:tcPr>
          <w:p>
            <w:r>
              <w:rPr/>
              <w:t xml:space="preserve">21 millions $</w:t>
            </w:r>
          </w:p>
        </w:tc>
      </w:tr>
    </w:tbl>
    <w:p>
      <w:pPr>
        <w:pStyle w:val="Heading2"/>
      </w:pPr>
      <w:r>
        <w:rPr/>
        <w:t xml:space="preserve">Graphique — Marché TAM / SAM / SOM :</w:t>
      </w:r>
    </w:p>
    <w:p>
      <w:pPr>
        <w:pStyle w:val="Heading2"/>
      </w:pPr>
      <w:r>
        <w:rPr/>
        <w:t xml:space="preserve">Analyse concurrentielle</w:t>
      </w:r>
    </w:p>
    <w:tbl>
      <w:tblPr>
        <w:tblStyle w:val="TableGrid"/>
        <w:tblW w:w="9360" w:type="dxa"/>
        <w:tblLook w:val="04A0" w:firstRow="1" w:lastRow="0" w:firstColumn="1" w:lastColumn="0" w:noHBand="0" w:noVBand="1"/>
      </w:tblPr>
      <w:tr>
        <w:trPr>
          <w:tblHeader/>
        </w:trPr>
        <w:tc>
          <w:tcPr>
            <w:shd w:val="clear" w:color="auto" w:fill="1F5C99"/>
          </w:tcPr>
          <w:p>
            <w:pPr>
              <w:jc w:val="center"/>
            </w:pPr>
            <w:r>
              <w:rPr>
                <w:b/>
                <w:color w:val="FFFFFF"/>
              </w:rPr>
              <w:t>Concurrent</w:t>
            </w:r>
          </w:p>
        </w:tc>
        <w:tc>
          <w:tcPr>
            <w:shd w:val="clear" w:color="auto" w:fill="1F5C99"/>
          </w:tcPr>
          <w:p>
            <w:pPr>
              <w:jc w:val="center"/>
            </w:pPr>
            <w:r>
              <w:rPr>
                <w:b/>
                <w:color w:val="FFFFFF"/>
              </w:rPr>
              <w:t>Forces</w:t>
            </w:r>
          </w:p>
        </w:tc>
        <w:tc>
          <w:tcPr>
            <w:shd w:val="clear" w:color="auto" w:fill="1F5C99"/>
          </w:tcPr>
          <w:p>
            <w:pPr>
              <w:jc w:val="center"/>
            </w:pPr>
            <w:r>
              <w:rPr>
                <w:b/>
                <w:color w:val="FFFFFF"/>
              </w:rPr>
              <w:t>Faiblesses</w:t>
            </w:r>
          </w:p>
        </w:tc>
        <w:tc>
          <w:tcPr>
            <w:shd w:val="clear" w:color="auto" w:fill="1F5C99"/>
          </w:tcPr>
          <w:p>
            <w:pPr>
              <w:jc w:val="center"/>
            </w:pPr>
            <w:r>
              <w:rPr>
                <w:b/>
                <w:color w:val="FFFFFF"/>
              </w:rPr>
              <w:t>Prix</w:t>
            </w:r>
          </w:p>
        </w:tc>
        <w:tc>
          <w:tcPr>
            <w:shd w:val="clear" w:color="auto" w:fill="1F5C99"/>
          </w:tcPr>
          <w:p>
            <w:pPr>
              <w:jc w:val="center"/>
            </w:pPr>
            <w:r>
              <w:rPr>
                <w:b/>
                <w:color w:val="FFFFFF"/>
              </w:rPr>
              <w:t>Langue</w:t>
            </w:r>
          </w:p>
        </w:tc>
      </w:tr>
      <w:tr>
        <w:tc>
          <w:tcPr>
            <w:shd w:val="clear" w:color="auto" w:fill="DEEAF1"/>
          </w:tcPr>
          <w:p>
            <w:r>
              <w:rPr/>
              <w:t xml:space="preserve">Mint (Intuit)</w:t>
            </w:r>
          </w:p>
        </w:tc>
        <w:tc>
          <w:tcPr>
            <w:shd w:val="clear" w:color="auto" w:fill="DEEAF1"/>
          </w:tcPr>
          <w:p>
            <w:r>
              <w:rPr/>
              <w:t xml:space="preserve">Marque forte, intégration bancaire</w:t>
            </w:r>
          </w:p>
        </w:tc>
        <w:tc>
          <w:tcPr>
            <w:shd w:val="clear" w:color="auto" w:fill="DEEAF1"/>
          </w:tcPr>
          <w:p>
            <w:r>
              <w:rPr/>
              <w:t xml:space="preserve">Anglais seulement, peu de focus épicerie</w:t>
            </w:r>
          </w:p>
        </w:tc>
        <w:tc>
          <w:tcPr>
            <w:shd w:val="clear" w:color="auto" w:fill="DEEAF1"/>
          </w:tcPr>
          <w:p>
            <w:r>
              <w:rPr/>
              <w:t xml:space="preserve">Gratuit</w:t>
            </w:r>
          </w:p>
        </w:tc>
        <w:tc>
          <w:tcPr>
            <w:shd w:val="clear" w:color="auto" w:fill="DEEAF1"/>
          </w:tcPr>
          <w:p>
            <w:r>
              <w:rPr/>
              <w:t xml:space="preserve">EN</w:t>
            </w:r>
          </w:p>
        </w:tc>
      </w:tr>
      <w:tr>
        <w:tc>
          <w:tcPr>
            <w:shd w:val="clear" w:color="auto" w:fill="FFFFFF"/>
          </w:tcPr>
          <w:p>
            <w:r>
              <w:rPr/>
              <w:t xml:space="preserve">YNAB</w:t>
            </w:r>
          </w:p>
        </w:tc>
        <w:tc>
          <w:tcPr>
            <w:shd w:val="clear" w:color="auto" w:fill="FFFFFF"/>
          </w:tcPr>
          <w:p>
            <w:r>
              <w:rPr/>
              <w:t xml:space="preserve">Méthodologie reconnue, communauté active</w:t>
            </w:r>
          </w:p>
        </w:tc>
        <w:tc>
          <w:tcPr>
            <w:shd w:val="clear" w:color="auto" w:fill="FFFFFF"/>
          </w:tcPr>
          <w:p>
            <w:r>
              <w:rPr/>
              <w:t xml:space="preserve">Anglais seulement, complexe pour débutants</w:t>
            </w:r>
          </w:p>
        </w:tc>
        <w:tc>
          <w:tcPr>
            <w:shd w:val="clear" w:color="auto" w:fill="FFFFFF"/>
          </w:tcPr>
          <w:p>
            <w:r>
              <w:rPr/>
              <w:t xml:space="preserve">14,99 $/mois</w:t>
            </w:r>
          </w:p>
        </w:tc>
        <w:tc>
          <w:tcPr>
            <w:shd w:val="clear" w:color="auto" w:fill="FFFFFF"/>
          </w:tcPr>
          <w:p>
            <w:r>
              <w:rPr/>
              <w:t xml:space="preserve">EN</w:t>
            </w:r>
          </w:p>
        </w:tc>
      </w:tr>
      <w:tr>
        <w:tc>
          <w:tcPr>
            <w:shd w:val="clear" w:color="auto" w:fill="DEEAF1"/>
          </w:tcPr>
          <w:p>
            <w:r>
              <w:rPr/>
              <w:t xml:space="preserve">Flipp</w:t>
            </w:r>
          </w:p>
        </w:tc>
        <w:tc>
          <w:tcPr>
            <w:shd w:val="clear" w:color="auto" w:fill="DEEAF1"/>
          </w:tcPr>
          <w:p>
            <w:r>
              <w:rPr/>
              <w:t xml:space="preserve">Intégration circulaires, large réseau</w:t>
            </w:r>
          </w:p>
        </w:tc>
        <w:tc>
          <w:tcPr>
            <w:shd w:val="clear" w:color="auto" w:fill="DEEAF1"/>
          </w:tcPr>
          <w:p>
            <w:r>
              <w:rPr/>
              <w:t xml:space="preserve">Pas de suivi budget, pas de personnalisation</w:t>
            </w:r>
          </w:p>
        </w:tc>
        <w:tc>
          <w:tcPr>
            <w:shd w:val="clear" w:color="auto" w:fill="DEEAF1"/>
          </w:tcPr>
          <w:p>
            <w:r>
              <w:rPr/>
              <w:t xml:space="preserve">Gratuit</w:t>
            </w:r>
          </w:p>
        </w:tc>
        <w:tc>
          <w:tcPr>
            <w:shd w:val="clear" w:color="auto" w:fill="DEEAF1"/>
          </w:tcPr>
          <w:p>
            <w:r>
              <w:rPr/>
              <w:t xml:space="preserve">EN/FR partiel</w:t>
            </w:r>
          </w:p>
        </w:tc>
      </w:tr>
      <w:tr>
        <w:tc>
          <w:tcPr>
            <w:shd w:val="clear" w:color="auto" w:fill="FFFFFF"/>
          </w:tcPr>
          <w:p>
            <w:r>
              <w:rPr/>
              <w:t xml:space="preserve">Reebee</w:t>
            </w:r>
          </w:p>
        </w:tc>
        <w:tc>
          <w:tcPr>
            <w:shd w:val="clear" w:color="auto" w:fill="FFFFFF"/>
          </w:tcPr>
          <w:p>
            <w:r>
              <w:rPr/>
              <w:t xml:space="preserve">Circulaires numériques, version française</w:t>
            </w:r>
          </w:p>
        </w:tc>
        <w:tc>
          <w:tcPr>
            <w:shd w:val="clear" w:color="auto" w:fill="FFFFFF"/>
          </w:tcPr>
          <w:p>
            <w:r>
              <w:rPr/>
              <w:t xml:space="preserve">Pas de budget, pas de suivi dépenses</w:t>
            </w:r>
          </w:p>
        </w:tc>
        <w:tc>
          <w:tcPr>
            <w:shd w:val="clear" w:color="auto" w:fill="FFFFFF"/>
          </w:tcPr>
          <w:p>
            <w:r>
              <w:rPr/>
              <w:t xml:space="preserve">Gratuit</w:t>
            </w:r>
          </w:p>
        </w:tc>
        <w:tc>
          <w:tcPr>
            <w:shd w:val="clear" w:color="auto" w:fill="FFFFFF"/>
          </w:tcPr>
          <w:p>
            <w:r>
              <w:rPr/>
              <w:t xml:space="preserve">EN/FR</w:t>
            </w:r>
          </w:p>
        </w:tc>
      </w:tr>
      <w:tr>
        <w:tc>
          <w:tcPr>
            <w:shd w:val="clear" w:color="auto" w:fill="DEEAF1"/>
          </w:tcPr>
          <w:p>
            <w:r>
              <w:rPr/>
              <w:t xml:space="preserve">PanierClair</w:t>
            </w:r>
          </w:p>
        </w:tc>
        <w:tc>
          <w:tcPr>
            <w:shd w:val="clear" w:color="auto" w:fill="DEEAF1"/>
          </w:tcPr>
          <w:p>
            <w:r>
              <w:rPr/>
              <w:t xml:space="preserve">100 % français, budget + épicerie intégrés</w:t>
            </w:r>
          </w:p>
        </w:tc>
        <w:tc>
          <w:tcPr>
            <w:shd w:val="clear" w:color="auto" w:fill="DEEAF1"/>
          </w:tcPr>
          <w:p>
            <w:r>
              <w:rPr/>
              <w:t xml:space="preserve">Nouveau, peu connu</w:t>
            </w:r>
          </w:p>
        </w:tc>
        <w:tc>
          <w:tcPr>
            <w:shd w:val="clear" w:color="auto" w:fill="DEEAF1"/>
          </w:tcPr>
          <w:p>
            <w:r>
              <w:rPr/>
              <w:t xml:space="preserve">Freemium</w:t>
            </w:r>
          </w:p>
        </w:tc>
        <w:tc>
          <w:tcPr>
            <w:shd w:val="clear" w:color="auto" w:fill="DEEAF1"/>
          </w:tcPr>
          <w:p>
            <w:r>
              <w:rPr/>
              <w:t xml:space="preserve">FR</w:t>
            </w:r>
          </w:p>
        </w:tc>
      </w:tr>
    </w:tbl>
    <w:p>
      <w:pPr>
        <w:pStyle w:val="Heading1"/>
      </w:pPr>
      <w:r>
        <w:rPr/>
        <w:t xml:space="preserve">4. Produit et Services</w:t>
      </w:r>
    </w:p>
    <w:p>
      <w:pPr>
        <w:pStyle w:val="Heading2"/>
      </w:pPr>
      <w:r>
        <w:rPr/>
        <w:t xml:space="preserve">Fonctionnalités par tier</w:t>
      </w:r>
    </w:p>
    <w:tbl>
      <w:tblPr>
        <w:tblStyle w:val="TableGrid"/>
        <w:tblW w:w="9360" w:type="dxa"/>
        <w:tblLook w:val="04A0" w:firstRow="1" w:lastRow="0" w:firstColumn="1" w:lastColumn="0" w:noHBand="0" w:noVBand="1"/>
      </w:tblPr>
      <w:tr>
        <w:trPr>
          <w:tblHeader/>
        </w:trPr>
        <w:tc>
          <w:tcPr>
            <w:shd w:val="clear" w:color="auto" w:fill="1F5C99"/>
          </w:tcPr>
          <w:p>
            <w:pPr>
              <w:jc w:val="center"/>
            </w:pPr>
            <w:r>
              <w:rPr>
                <w:b/>
                <w:color w:val="FFFFFF"/>
              </w:rPr>
              <w:t>Fonctionnalité</w:t>
            </w:r>
          </w:p>
        </w:tc>
        <w:tc>
          <w:tcPr>
            <w:shd w:val="clear" w:color="auto" w:fill="1F5C99"/>
          </w:tcPr>
          <w:p>
            <w:pPr>
              <w:jc w:val="center"/>
            </w:pPr>
            <w:r>
              <w:rPr>
                <w:b/>
                <w:color w:val="FFFFFF"/>
              </w:rPr>
              <w:t>Gratuit</w:t>
            </w:r>
          </w:p>
        </w:tc>
        <w:tc>
          <w:tcPr>
            <w:shd w:val="clear" w:color="auto" w:fill="1F5C99"/>
          </w:tcPr>
          <w:p>
            <w:pPr>
              <w:jc w:val="center"/>
            </w:pPr>
            <w:r>
              <w:rPr>
                <w:b/>
                <w:color w:val="FFFFFF"/>
              </w:rPr>
              <w:t>Premium</w:t>
            </w:r>
          </w:p>
        </w:tc>
      </w:tr>
      <w:tr>
        <w:tc>
          <w:tcPr>
            <w:shd w:val="clear" w:color="auto" w:fill="DEEAF1"/>
          </w:tcPr>
          <w:p>
            <w:r>
              <w:rPr/>
              <w:t xml:space="preserve">Listes de courses (illimitées)</w:t>
            </w:r>
          </w:p>
        </w:tc>
        <w:tc>
          <w:tcPr>
            <w:shd w:val="clear" w:color="auto" w:fill="DEEAF1"/>
          </w:tcPr>
          <w:p>
            <w:r>
              <w:rPr/>
              <w:t xml:space="preserve">✓</w:t>
            </w:r>
          </w:p>
        </w:tc>
        <w:tc>
          <w:tcPr>
            <w:shd w:val="clear" w:color="auto" w:fill="DEEAF1"/>
          </w:tcPr>
          <w:p>
            <w:r>
              <w:rPr/>
              <w:t xml:space="preserve">✓</w:t>
            </w:r>
          </w:p>
        </w:tc>
      </w:tr>
      <w:tr>
        <w:tc>
          <w:tcPr>
            <w:shd w:val="clear" w:color="auto" w:fill="FFFFFF"/>
          </w:tcPr>
          <w:p>
            <w:r>
              <w:rPr/>
              <w:t xml:space="preserve">Suivi des dépenses par catégorie</w:t>
            </w:r>
          </w:p>
        </w:tc>
        <w:tc>
          <w:tcPr>
            <w:shd w:val="clear" w:color="auto" w:fill="FFFFFF"/>
          </w:tcPr>
          <w:p>
            <w:r>
              <w:rPr/>
              <w:t xml:space="preserve">✓</w:t>
            </w:r>
          </w:p>
        </w:tc>
        <w:tc>
          <w:tcPr>
            <w:shd w:val="clear" w:color="auto" w:fill="FFFFFF"/>
          </w:tcPr>
          <w:p>
            <w:r>
              <w:rPr/>
              <w:t xml:space="preserve">✓</w:t>
            </w:r>
          </w:p>
        </w:tc>
      </w:tr>
      <w:tr>
        <w:tc>
          <w:tcPr>
            <w:shd w:val="clear" w:color="auto" w:fill="DEEAF1"/>
          </w:tcPr>
          <w:p>
            <w:r>
              <w:rPr/>
              <w:t xml:space="preserve">Budget mensuel configurable</w:t>
            </w:r>
          </w:p>
        </w:tc>
        <w:tc>
          <w:tcPr>
            <w:shd w:val="clear" w:color="auto" w:fill="DEEAF1"/>
          </w:tcPr>
          <w:p>
            <w:r>
              <w:rPr/>
              <w:t xml:space="preserve">✓</w:t>
            </w:r>
          </w:p>
        </w:tc>
        <w:tc>
          <w:tcPr>
            <w:shd w:val="clear" w:color="auto" w:fill="DEEAF1"/>
          </w:tcPr>
          <w:p>
            <w:r>
              <w:rPr/>
              <w:t xml:space="preserve">✓</w:t>
            </w:r>
          </w:p>
        </w:tc>
      </w:tr>
      <w:tr>
        <w:tc>
          <w:tcPr>
            <w:shd w:val="clear" w:color="auto" w:fill="FFFFFF"/>
          </w:tcPr>
          <w:p>
            <w:r>
              <w:rPr/>
              <w:t xml:space="preserve">Accès circulaires des épiceries partenaires</w:t>
            </w:r>
          </w:p>
        </w:tc>
        <w:tc>
          <w:tcPr>
            <w:shd w:val="clear" w:color="auto" w:fill="FFFFFF"/>
          </w:tcPr>
          <w:p>
            <w:r>
              <w:rPr/>
              <w:t xml:space="preserve">✓</w:t>
            </w:r>
          </w:p>
        </w:tc>
        <w:tc>
          <w:tcPr>
            <w:shd w:val="clear" w:color="auto" w:fill="FFFFFF"/>
          </w:tcPr>
          <w:p>
            <w:r>
              <w:rPr/>
              <w:t xml:space="preserve">✓</w:t>
            </w:r>
          </w:p>
        </w:tc>
      </w:tr>
      <w:tr>
        <w:tc>
          <w:tcPr>
            <w:shd w:val="clear" w:color="auto" w:fill="DEEAF1"/>
          </w:tcPr>
          <w:p>
            <w:r>
              <w:rPr/>
              <w:t xml:space="preserve">Suggestions de recettes de base</w:t>
            </w:r>
          </w:p>
        </w:tc>
        <w:tc>
          <w:tcPr>
            <w:shd w:val="clear" w:color="auto" w:fill="DEEAF1"/>
          </w:tcPr>
          <w:p>
            <w:r>
              <w:rPr/>
              <w:t xml:space="preserve">✓</w:t>
            </w:r>
          </w:p>
        </w:tc>
        <w:tc>
          <w:tcPr>
            <w:shd w:val="clear" w:color="auto" w:fill="DEEAF1"/>
          </w:tcPr>
          <w:p>
            <w:r>
              <w:rPr/>
              <w:t xml:space="preserve">✓</w:t>
            </w:r>
          </w:p>
        </w:tc>
      </w:tr>
      <w:tr>
        <w:tc>
          <w:tcPr>
            <w:shd w:val="clear" w:color="auto" w:fill="FFFFFF"/>
          </w:tcPr>
          <w:p>
            <w:r>
              <w:rPr/>
              <w:t xml:space="preserve">Analyse des habitudes (historique 12 mois)</w:t>
            </w:r>
          </w:p>
        </w:tc>
        <w:tc>
          <w:tcPr>
            <w:shd w:val="clear" w:color="auto" w:fill="FFFFFF"/>
          </w:tcPr>
          <w:p>
            <w:r>
              <w:rPr/>
              <w:t xml:space="preserve">—</w:t>
            </w:r>
          </w:p>
        </w:tc>
        <w:tc>
          <w:tcPr>
            <w:shd w:val="clear" w:color="auto" w:fill="FFFFFF"/>
          </w:tcPr>
          <w:p>
            <w:r>
              <w:rPr/>
              <w:t xml:space="preserve">✓</w:t>
            </w:r>
          </w:p>
        </w:tc>
      </w:tr>
      <w:tr>
        <w:tc>
          <w:tcPr>
            <w:shd w:val="clear" w:color="auto" w:fill="DEEAF1"/>
          </w:tcPr>
          <w:p>
            <w:r>
              <w:rPr/>
              <w:t xml:space="preserve">Alertes intelligentes (budget imminent)</w:t>
            </w:r>
          </w:p>
        </w:tc>
        <w:tc>
          <w:tcPr>
            <w:shd w:val="clear" w:color="auto" w:fill="DEEAF1"/>
          </w:tcPr>
          <w:p>
            <w:r>
              <w:rPr/>
              <w:t xml:space="preserve">—</w:t>
            </w:r>
          </w:p>
        </w:tc>
        <w:tc>
          <w:tcPr>
            <w:shd w:val="clear" w:color="auto" w:fill="DEEAF1"/>
          </w:tcPr>
          <w:p>
            <w:r>
              <w:rPr/>
              <w:t xml:space="preserve">✓</w:t>
            </w:r>
          </w:p>
        </w:tc>
      </w:tr>
      <w:tr>
        <w:tc>
          <w:tcPr>
            <w:shd w:val="clear" w:color="auto" w:fill="FFFFFF"/>
          </w:tcPr>
          <w:p>
            <w:r>
              <w:rPr/>
              <w:t xml:space="preserve">Comparateur de prix entre épiceries</w:t>
            </w:r>
          </w:p>
        </w:tc>
        <w:tc>
          <w:tcPr>
            <w:shd w:val="clear" w:color="auto" w:fill="FFFFFF"/>
          </w:tcPr>
          <w:p>
            <w:r>
              <w:rPr/>
              <w:t xml:space="preserve">—</w:t>
            </w:r>
          </w:p>
        </w:tc>
        <w:tc>
          <w:tcPr>
            <w:shd w:val="clear" w:color="auto" w:fill="FFFFFF"/>
          </w:tcPr>
          <w:p>
            <w:r>
              <w:rPr/>
              <w:t xml:space="preserve">✓</w:t>
            </w:r>
          </w:p>
        </w:tc>
      </w:tr>
      <w:tr>
        <w:tc>
          <w:tcPr>
            <w:shd w:val="clear" w:color="auto" w:fill="DEEAF1"/>
          </w:tcPr>
          <w:p>
            <w:r>
              <w:rPr/>
              <w:t xml:space="preserve">Recettes personnalisées (items en spécial)</w:t>
            </w:r>
          </w:p>
        </w:tc>
        <w:tc>
          <w:tcPr>
            <w:shd w:val="clear" w:color="auto" w:fill="DEEAF1"/>
          </w:tcPr>
          <w:p>
            <w:r>
              <w:rPr/>
              <w:t xml:space="preserve">—</w:t>
            </w:r>
          </w:p>
        </w:tc>
        <w:tc>
          <w:tcPr>
            <w:shd w:val="clear" w:color="auto" w:fill="DEEAF1"/>
          </w:tcPr>
          <w:p>
            <w:r>
              <w:rPr/>
              <w:t xml:space="preserve">✓</w:t>
            </w:r>
          </w:p>
        </w:tc>
      </w:tr>
      <w:tr>
        <w:tc>
          <w:tcPr>
            <w:shd w:val="clear" w:color="auto" w:fill="FFFFFF"/>
          </w:tcPr>
          <w:p>
            <w:r>
              <w:rPr/>
              <w:t xml:space="preserve">Export données (PDF, CSV)</w:t>
            </w:r>
          </w:p>
        </w:tc>
        <w:tc>
          <w:tcPr>
            <w:shd w:val="clear" w:color="auto" w:fill="FFFFFF"/>
          </w:tcPr>
          <w:p>
            <w:r>
              <w:rPr/>
              <w:t xml:space="preserve">—</w:t>
            </w:r>
          </w:p>
        </w:tc>
        <w:tc>
          <w:tcPr>
            <w:shd w:val="clear" w:color="auto" w:fill="FFFFFF"/>
          </w:tcPr>
          <w:p>
            <w:r>
              <w:rPr/>
              <w:t xml:space="preserve">✓</w:t>
            </w:r>
          </w:p>
        </w:tc>
      </w:tr>
      <w:tr>
        <w:tc>
          <w:tcPr>
            <w:shd w:val="clear" w:color="auto" w:fill="DEEAF1"/>
          </w:tcPr>
          <w:p>
            <w:r>
              <w:rPr/>
              <w:t xml:space="preserve">Support prioritaire</w:t>
            </w:r>
          </w:p>
        </w:tc>
        <w:tc>
          <w:tcPr>
            <w:shd w:val="clear" w:color="auto" w:fill="DEEAF1"/>
          </w:tcPr>
          <w:p>
            <w:r>
              <w:rPr/>
              <w:t xml:space="preserve">—</w:t>
            </w:r>
          </w:p>
        </w:tc>
        <w:tc>
          <w:tcPr>
            <w:shd w:val="clear" w:color="auto" w:fill="DEEAF1"/>
          </w:tcPr>
          <w:p>
            <w:r>
              <w:rPr/>
              <w:t xml:space="preserve">✓</w:t>
            </w:r>
          </w:p>
        </w:tc>
      </w:tr>
    </w:tbl>
    <w:p>
      <w:pPr>
        <w:pStyle w:val="Heading2"/>
      </w:pPr>
      <w:r>
        <w:rPr/>
        <w:t xml:space="preserve">Feuille de route produit (2026–2028)</w:t>
      </w:r>
    </w:p>
    <w:tbl>
      <w:tblPr>
        <w:tblStyle w:val="TableGrid"/>
        <w:tblW w:w="9360" w:type="dxa"/>
        <w:tblLook w:val="04A0" w:firstRow="1" w:lastRow="0" w:firstColumn="1" w:lastColumn="0" w:noHBand="0" w:noVBand="1"/>
      </w:tblPr>
      <w:tr>
        <w:trPr>
          <w:tblHeader/>
        </w:trPr>
        <w:tc>
          <w:tcPr>
            <w:shd w:val="clear" w:color="auto" w:fill="1F5C99"/>
          </w:tcPr>
          <w:p>
            <w:pPr>
              <w:jc w:val="center"/>
            </w:pPr>
            <w:r>
              <w:rPr>
                <w:b/>
                <w:color w:val="FFFFFF"/>
              </w:rPr>
              <w:t>Période</w:t>
            </w:r>
          </w:p>
        </w:tc>
        <w:tc>
          <w:tcPr>
            <w:shd w:val="clear" w:color="auto" w:fill="1F5C99"/>
          </w:tcPr>
          <w:p>
            <w:pPr>
              <w:jc w:val="center"/>
            </w:pPr>
            <w:r>
              <w:rPr>
                <w:b/>
                <w:color w:val="FFFFFF"/>
              </w:rPr>
              <w:t>Livrables clés</w:t>
            </w:r>
          </w:p>
        </w:tc>
        <w:tc>
          <w:tcPr>
            <w:shd w:val="clear" w:color="auto" w:fill="1F5C99"/>
          </w:tcPr>
          <w:p>
            <w:pPr>
              <w:jc w:val="center"/>
            </w:pPr>
            <w:r>
              <w:rPr>
                <w:b/>
                <w:color w:val="FFFFFF"/>
              </w:rPr>
              <w:t>Priorité</w:t>
            </w:r>
          </w:p>
        </w:tc>
      </w:tr>
      <w:tr>
        <w:tc>
          <w:tcPr>
            <w:shd w:val="clear" w:color="auto" w:fill="DEEAF1"/>
          </w:tcPr>
          <w:p>
            <w:r>
              <w:rPr/>
              <w:t xml:space="preserve">T1 2026</w:t>
            </w:r>
          </w:p>
        </w:tc>
        <w:tc>
          <w:tcPr>
            <w:shd w:val="clear" w:color="auto" w:fill="DEEAF1"/>
          </w:tcPr>
          <w:p>
            <w:r>
              <w:rPr/>
              <w:t xml:space="preserve">MVP : liste de courses + suivi dépenses + budget de base</w:t>
            </w:r>
          </w:p>
        </w:tc>
        <w:tc>
          <w:tcPr>
            <w:shd w:val="clear" w:color="auto" w:fill="DEEAF1"/>
          </w:tcPr>
          <w:p>
            <w:r>
              <w:rPr/>
              <w:t xml:space="preserve">Critique</w:t>
            </w:r>
          </w:p>
        </w:tc>
      </w:tr>
      <w:tr>
        <w:tc>
          <w:tcPr>
            <w:shd w:val="clear" w:color="auto" w:fill="FFFFFF"/>
          </w:tcPr>
          <w:p>
            <w:r>
              <w:rPr/>
              <w:t xml:space="preserve">T2 2026</w:t>
            </w:r>
          </w:p>
        </w:tc>
        <w:tc>
          <w:tcPr>
            <w:shd w:val="clear" w:color="auto" w:fill="FFFFFF"/>
          </w:tcPr>
          <w:p>
            <w:r>
              <w:rPr/>
              <w:t xml:space="preserve">Intégration circulaires (IGA, Metro, Maxi) + alertes budget</w:t>
            </w:r>
          </w:p>
        </w:tc>
        <w:tc>
          <w:tcPr>
            <w:shd w:val="clear" w:color="auto" w:fill="FFFFFF"/>
          </w:tcPr>
          <w:p>
            <w:r>
              <w:rPr/>
              <w:t xml:space="preserve">Critique</w:t>
            </w:r>
          </w:p>
        </w:tc>
      </w:tr>
      <w:tr>
        <w:tc>
          <w:tcPr>
            <w:shd w:val="clear" w:color="auto" w:fill="DEEAF1"/>
          </w:tcPr>
          <w:p>
            <w:r>
              <w:rPr/>
              <w:t xml:space="preserve">T3 2026</w:t>
            </w:r>
          </w:p>
        </w:tc>
        <w:tc>
          <w:tcPr>
            <w:shd w:val="clear" w:color="auto" w:fill="DEEAF1"/>
          </w:tcPr>
          <w:p>
            <w:r>
              <w:rPr/>
              <w:t xml:space="preserve">Suggestions recettes + comparateur prix</w:t>
            </w:r>
          </w:p>
        </w:tc>
        <w:tc>
          <w:tcPr>
            <w:shd w:val="clear" w:color="auto" w:fill="DEEAF1"/>
          </w:tcPr>
          <w:p>
            <w:r>
              <w:rPr/>
              <w:t xml:space="preserve">Haute</w:t>
            </w:r>
          </w:p>
        </w:tc>
      </w:tr>
      <w:tr>
        <w:tc>
          <w:tcPr>
            <w:shd w:val="clear" w:color="auto" w:fill="FFFFFF"/>
          </w:tcPr>
          <w:p>
            <w:r>
              <w:rPr/>
              <w:t xml:space="preserve">T4 2026</w:t>
            </w:r>
          </w:p>
        </w:tc>
        <w:tc>
          <w:tcPr>
            <w:shd w:val="clear" w:color="auto" w:fill="FFFFFF"/>
          </w:tcPr>
          <w:p>
            <w:r>
              <w:rPr/>
              <w:t xml:space="preserve">Application mobile iOS + Android (React Native)</w:t>
            </w:r>
          </w:p>
        </w:tc>
        <w:tc>
          <w:tcPr>
            <w:shd w:val="clear" w:color="auto" w:fill="FFFFFF"/>
          </w:tcPr>
          <w:p>
            <w:r>
              <w:rPr/>
              <w:t xml:space="preserve">Critique</w:t>
            </w:r>
          </w:p>
        </w:tc>
      </w:tr>
      <w:tr>
        <w:tc>
          <w:tcPr>
            <w:shd w:val="clear" w:color="auto" w:fill="DEEAF1"/>
          </w:tcPr>
          <w:p>
            <w:r>
              <w:rPr/>
              <w:t xml:space="preserve">T1 2027</w:t>
            </w:r>
          </w:p>
        </w:tc>
        <w:tc>
          <w:tcPr>
            <w:shd w:val="clear" w:color="auto" w:fill="DEEAF1"/>
          </w:tcPr>
          <w:p>
            <w:r>
              <w:rPr/>
              <w:t xml:space="preserve">Tableau de bord analytique premium + export données</w:t>
            </w:r>
          </w:p>
        </w:tc>
        <w:tc>
          <w:tcPr>
            <w:shd w:val="clear" w:color="auto" w:fill="DEEAF1"/>
          </w:tcPr>
          <w:p>
            <w:r>
              <w:rPr/>
              <w:t xml:space="preserve">Haute</w:t>
            </w:r>
          </w:p>
        </w:tc>
      </w:tr>
      <w:tr>
        <w:tc>
          <w:tcPr>
            <w:shd w:val="clear" w:color="auto" w:fill="FFFFFF"/>
          </w:tcPr>
          <w:p>
            <w:r>
              <w:rPr/>
              <w:t xml:space="preserve">T2 2027</w:t>
            </w:r>
          </w:p>
        </w:tc>
        <w:tc>
          <w:tcPr>
            <w:shd w:val="clear" w:color="auto" w:fill="FFFFFF"/>
          </w:tcPr>
          <w:p>
            <w:r>
              <w:rPr/>
              <w:t xml:space="preserve">API B2B pour partenaires épicerie</w:t>
            </w:r>
          </w:p>
        </w:tc>
        <w:tc>
          <w:tcPr>
            <w:shd w:val="clear" w:color="auto" w:fill="FFFFFF"/>
          </w:tcPr>
          <w:p>
            <w:r>
              <w:rPr/>
              <w:t xml:space="preserve">Haute</w:t>
            </w:r>
          </w:p>
        </w:tc>
      </w:tr>
      <w:tr>
        <w:tc>
          <w:tcPr>
            <w:shd w:val="clear" w:color="auto" w:fill="DEEAF1"/>
          </w:tcPr>
          <w:p>
            <w:r>
              <w:rPr/>
              <w:t xml:space="preserve">T3 2027</w:t>
            </w:r>
          </w:p>
        </w:tc>
        <w:tc>
          <w:tcPr>
            <w:shd w:val="clear" w:color="auto" w:fill="DEEAF1"/>
          </w:tcPr>
          <w:p>
            <w:r>
              <w:rPr/>
              <w:t xml:space="preserve">Intégration Costco + Provigo</w:t>
            </w:r>
          </w:p>
        </w:tc>
        <w:tc>
          <w:tcPr>
            <w:shd w:val="clear" w:color="auto" w:fill="DEEAF1"/>
          </w:tcPr>
          <w:p>
            <w:r>
              <w:rPr/>
              <w:t xml:space="preserve">Moyenne</w:t>
            </w:r>
          </w:p>
        </w:tc>
      </w:tr>
      <w:tr>
        <w:tc>
          <w:tcPr>
            <w:shd w:val="clear" w:color="auto" w:fill="FFFFFF"/>
          </w:tcPr>
          <w:p>
            <w:r>
              <w:rPr/>
              <w:t xml:space="preserve">T4 2027</w:t>
            </w:r>
          </w:p>
        </w:tc>
        <w:tc>
          <w:tcPr>
            <w:shd w:val="clear" w:color="auto" w:fill="FFFFFF"/>
          </w:tcPr>
          <w:p>
            <w:r>
              <w:rPr/>
              <w:t xml:space="preserve">Fonctionnalité multi-profils (famille partagée)</w:t>
            </w:r>
          </w:p>
        </w:tc>
        <w:tc>
          <w:tcPr>
            <w:shd w:val="clear" w:color="auto" w:fill="FFFFFF"/>
          </w:tcPr>
          <w:p>
            <w:r>
              <w:rPr/>
              <w:t xml:space="preserve">Moyenne</w:t>
            </w:r>
          </w:p>
        </w:tc>
      </w:tr>
      <w:tr>
        <w:tc>
          <w:tcPr>
            <w:shd w:val="clear" w:color="auto" w:fill="DEEAF1"/>
          </w:tcPr>
          <w:p>
            <w:r>
              <w:rPr/>
              <w:t xml:space="preserve">T1 2028</w:t>
            </w:r>
          </w:p>
        </w:tc>
        <w:tc>
          <w:tcPr>
            <w:shd w:val="clear" w:color="auto" w:fill="DEEAF1"/>
          </w:tcPr>
          <w:p>
            <w:r>
              <w:rPr/>
              <w:t xml:space="preserve">Intelligence artificielle : prédictions de dépenses</w:t>
            </w:r>
          </w:p>
        </w:tc>
        <w:tc>
          <w:tcPr>
            <w:shd w:val="clear" w:color="auto" w:fill="DEEAF1"/>
          </w:tcPr>
          <w:p>
            <w:r>
              <w:rPr/>
              <w:t xml:space="preserve">Moyenne</w:t>
            </w:r>
          </w:p>
        </w:tc>
      </w:tr>
      <w:tr>
        <w:tc>
          <w:tcPr>
            <w:shd w:val="clear" w:color="auto" w:fill="FFFFFF"/>
          </w:tcPr>
          <w:p>
            <w:r>
              <w:rPr/>
              <w:t xml:space="preserve">T2 2028</w:t>
            </w:r>
          </w:p>
        </w:tc>
        <w:tc>
          <w:tcPr>
            <w:shd w:val="clear" w:color="auto" w:fill="FFFFFF"/>
          </w:tcPr>
          <w:p>
            <w:r>
              <w:rPr/>
              <w:t xml:space="preserve">Expansion Ontario (version bilingue)</w:t>
            </w:r>
          </w:p>
        </w:tc>
        <w:tc>
          <w:tcPr>
            <w:shd w:val="clear" w:color="auto" w:fill="FFFFFF"/>
          </w:tcPr>
          <w:p>
            <w:r>
              <w:rPr/>
              <w:t xml:space="preserve">Moyenne</w:t>
            </w:r>
          </w:p>
        </w:tc>
      </w:tr>
    </w:tbl>
    <w:p>
      <w:pPr>
        <w:pStyle w:val="Heading1"/>
      </w:pPr>
      <w:r>
        <w:rPr/>
        <w:t xml:space="preserve">5. Stratégie de Mise en Marché</w:t>
      </w:r>
    </w:p>
    <w:p>
      <w:pPr>
        <w:pStyle w:val="Normal"/>
      </w:pPr>
      <w:r>
        <w:rPr/>
        <w:t xml:space="preserve">Notre stratégie d'acquisition repose sur deux piliers complémentaires : la croissance organique (SEO francophone, médias sociaux, bouche-à-oreille via programme de référencement) et l'acquisition payante ciblée (Google Ads, Meta Ads). Pour la rétention, nous investissons dans un onboarding guidé, des courriels hebdomadaires personnalisés et une gamification légère (badges « Budget Maîtrisé », « Champion des Spéciaux »).</w:t>
      </w:r>
    </w:p>
    <w:tbl>
      <w:tblPr>
        <w:tblStyle w:val="TableGrid"/>
        <w:tblW w:w="9360" w:type="dxa"/>
        <w:tblLook w:val="04A0" w:firstRow="1" w:lastRow="0" w:firstColumn="1" w:lastColumn="0" w:noHBand="0" w:noVBand="1"/>
      </w:tblPr>
      <w:tr>
        <w:trPr>
          <w:tblHeader/>
        </w:trPr>
        <w:tc>
          <w:tcPr>
            <w:shd w:val="clear" w:color="auto" w:fill="1F5C99"/>
          </w:tcPr>
          <w:p>
            <w:pPr>
              <w:jc w:val="center"/>
            </w:pPr>
            <w:r>
              <w:rPr>
                <w:b/>
                <w:color w:val="FFFFFF"/>
              </w:rPr>
              <w:t>Canal</w:t>
            </w:r>
          </w:p>
        </w:tc>
        <w:tc>
          <w:tcPr>
            <w:shd w:val="clear" w:color="auto" w:fill="1F5C99"/>
          </w:tcPr>
          <w:p>
            <w:pPr>
              <w:jc w:val="center"/>
            </w:pPr>
            <w:r>
              <w:rPr>
                <w:b/>
                <w:color w:val="FFFFFF"/>
              </w:rPr>
              <w:t>Type</w:t>
            </w:r>
          </w:p>
        </w:tc>
        <w:tc>
          <w:tcPr>
            <w:shd w:val="clear" w:color="auto" w:fill="1F5C99"/>
          </w:tcPr>
          <w:p>
            <w:pPr>
              <w:jc w:val="center"/>
            </w:pPr>
            <w:r>
              <w:rPr>
                <w:b/>
                <w:color w:val="FFFFFF"/>
              </w:rPr>
              <w:t>CAC estimé</w:t>
            </w:r>
          </w:p>
        </w:tc>
        <w:tc>
          <w:tcPr>
            <w:shd w:val="clear" w:color="auto" w:fill="1F5C99"/>
          </w:tcPr>
          <w:p>
            <w:pPr>
              <w:jc w:val="center"/>
            </w:pPr>
            <w:r>
              <w:rPr>
                <w:b/>
                <w:color w:val="FFFFFF"/>
              </w:rPr>
              <w:t>Volume attendu (an 1)</w:t>
            </w:r>
          </w:p>
        </w:tc>
      </w:tr>
      <w:tr>
        <w:tc>
          <w:tcPr>
            <w:shd w:val="clear" w:color="auto" w:fill="DEEAF1"/>
          </w:tcPr>
          <w:p>
            <w:r>
              <w:rPr/>
              <w:t xml:space="preserve">SEO / contenu (blog budget)</w:t>
            </w:r>
          </w:p>
        </w:tc>
        <w:tc>
          <w:tcPr>
            <w:shd w:val="clear" w:color="auto" w:fill="DEEAF1"/>
          </w:tcPr>
          <w:p>
            <w:r>
              <w:rPr/>
              <w:t xml:space="preserve">Organique</w:t>
            </w:r>
          </w:p>
        </w:tc>
        <w:tc>
          <w:tcPr>
            <w:shd w:val="clear" w:color="auto" w:fill="DEEAF1"/>
          </w:tcPr>
          <w:p>
            <w:r>
              <w:rPr/>
              <w:t xml:space="preserve">~5 $</w:t>
            </w:r>
          </w:p>
        </w:tc>
        <w:tc>
          <w:tcPr>
            <w:shd w:val="clear" w:color="auto" w:fill="DEEAF1"/>
          </w:tcPr>
          <w:p>
            <w:r>
              <w:rPr/>
              <w:t xml:space="preserve">1 500 utilisateurs</w:t>
            </w:r>
          </w:p>
        </w:tc>
      </w:tr>
      <w:tr>
        <w:tc>
          <w:tcPr>
            <w:shd w:val="clear" w:color="auto" w:fill="FFFFFF"/>
          </w:tcPr>
          <w:p>
            <w:r>
              <w:rPr/>
              <w:t xml:space="preserve">Médias sociaux (Facebook/Instagram)</w:t>
            </w:r>
          </w:p>
        </w:tc>
        <w:tc>
          <w:tcPr>
            <w:shd w:val="clear" w:color="auto" w:fill="FFFFFF"/>
          </w:tcPr>
          <w:p>
            <w:r>
              <w:rPr/>
              <w:t xml:space="preserve">Organique</w:t>
            </w:r>
          </w:p>
        </w:tc>
        <w:tc>
          <w:tcPr>
            <w:shd w:val="clear" w:color="auto" w:fill="FFFFFF"/>
          </w:tcPr>
          <w:p>
            <w:r>
              <w:rPr/>
              <w:t xml:space="preserve">~8 $</w:t>
            </w:r>
          </w:p>
        </w:tc>
        <w:tc>
          <w:tcPr>
            <w:shd w:val="clear" w:color="auto" w:fill="FFFFFF"/>
          </w:tcPr>
          <w:p>
            <w:r>
              <w:rPr/>
              <w:t xml:space="preserve">1 000 utilisateurs</w:t>
            </w:r>
          </w:p>
        </w:tc>
      </w:tr>
      <w:tr>
        <w:tc>
          <w:tcPr>
            <w:shd w:val="clear" w:color="auto" w:fill="DEEAF1"/>
          </w:tcPr>
          <w:p>
            <w:r>
              <w:rPr/>
              <w:t xml:space="preserve">Programme de référencement</w:t>
            </w:r>
          </w:p>
        </w:tc>
        <w:tc>
          <w:tcPr>
            <w:shd w:val="clear" w:color="auto" w:fill="DEEAF1"/>
          </w:tcPr>
          <w:p>
            <w:r>
              <w:rPr/>
              <w:t xml:space="preserve">Organique</w:t>
            </w:r>
          </w:p>
        </w:tc>
        <w:tc>
          <w:tcPr>
            <w:shd w:val="clear" w:color="auto" w:fill="DEEAF1"/>
          </w:tcPr>
          <w:p>
            <w:r>
              <w:rPr/>
              <w:t xml:space="preserve">~6 $</w:t>
            </w:r>
          </w:p>
        </w:tc>
        <w:tc>
          <w:tcPr>
            <w:shd w:val="clear" w:color="auto" w:fill="DEEAF1"/>
          </w:tcPr>
          <w:p>
            <w:r>
              <w:rPr/>
              <w:t xml:space="preserve">800 utilisateurs</w:t>
            </w:r>
          </w:p>
        </w:tc>
      </w:tr>
      <w:tr>
        <w:tc>
          <w:tcPr>
            <w:shd w:val="clear" w:color="auto" w:fill="FFFFFF"/>
          </w:tcPr>
          <w:p>
            <w:r>
              <w:rPr/>
              <w:t xml:space="preserve">Google Ads</w:t>
            </w:r>
          </w:p>
        </w:tc>
        <w:tc>
          <w:tcPr>
            <w:shd w:val="clear" w:color="auto" w:fill="FFFFFF"/>
          </w:tcPr>
          <w:p>
            <w:r>
              <w:rPr/>
              <w:t xml:space="preserve">Payant</w:t>
            </w:r>
          </w:p>
        </w:tc>
        <w:tc>
          <w:tcPr>
            <w:shd w:val="clear" w:color="auto" w:fill="FFFFFF"/>
          </w:tcPr>
          <w:p>
            <w:r>
              <w:rPr/>
              <w:t xml:space="preserve">~25 $</w:t>
            </w:r>
          </w:p>
        </w:tc>
        <w:tc>
          <w:tcPr>
            <w:shd w:val="clear" w:color="auto" w:fill="FFFFFF"/>
          </w:tcPr>
          <w:p>
            <w:r>
              <w:rPr/>
              <w:t xml:space="preserve">1 200 utilisateurs</w:t>
            </w:r>
          </w:p>
        </w:tc>
      </w:tr>
      <w:tr>
        <w:tc>
          <w:tcPr>
            <w:shd w:val="clear" w:color="auto" w:fill="DEEAF1"/>
          </w:tcPr>
          <w:p>
            <w:r>
              <w:rPr/>
              <w:t xml:space="preserve">Facebook/Instagram Ads</w:t>
            </w:r>
          </w:p>
        </w:tc>
        <w:tc>
          <w:tcPr>
            <w:shd w:val="clear" w:color="auto" w:fill="DEEAF1"/>
          </w:tcPr>
          <w:p>
            <w:r>
              <w:rPr/>
              <w:t xml:space="preserve">Payant</w:t>
            </w:r>
          </w:p>
        </w:tc>
        <w:tc>
          <w:tcPr>
            <w:shd w:val="clear" w:color="auto" w:fill="DEEAF1"/>
          </w:tcPr>
          <w:p>
            <w:r>
              <w:rPr/>
              <w:t xml:space="preserve">~22 $</w:t>
            </w:r>
          </w:p>
        </w:tc>
        <w:tc>
          <w:tcPr>
            <w:shd w:val="clear" w:color="auto" w:fill="DEEAF1"/>
          </w:tcPr>
          <w:p>
            <w:r>
              <w:rPr/>
              <w:t xml:space="preserve">500 utilisateurs</w:t>
            </w:r>
          </w:p>
        </w:tc>
      </w:tr>
    </w:tbl>
    <w:p>
      <w:pPr>
        <w:pStyle w:val="Heading1"/>
      </w:pPr>
      <w:r>
        <w:rPr/>
        <w:t xml:space="preserve">6. Modèle d'Affaires</w:t>
      </w:r>
    </w:p>
    <w:tbl>
      <w:tblPr>
        <w:tblStyle w:val="TableGrid"/>
        <w:tblW w:w="9360" w:type="dxa"/>
        <w:tblLook w:val="04A0" w:firstRow="1" w:lastRow="0" w:firstColumn="1" w:lastColumn="0" w:noHBand="0" w:noVBand="1"/>
      </w:tblPr>
      <w:tr>
        <w:trPr>
          <w:tblHeader/>
        </w:trPr>
        <w:tc>
          <w:tcPr>
            <w:shd w:val="clear" w:color="auto" w:fill="1F5C99"/>
          </w:tcPr>
          <w:p>
            <w:pPr>
              <w:jc w:val="center"/>
            </w:pPr>
            <w:r>
              <w:rPr>
                <w:b/>
                <w:color w:val="FFFFFF"/>
              </w:rPr>
              <w:t>Source</w:t>
            </w:r>
          </w:p>
        </w:tc>
        <w:tc>
          <w:tcPr>
            <w:shd w:val="clear" w:color="auto" w:fill="1F5C99"/>
          </w:tcPr>
          <w:p>
            <w:pPr>
              <w:jc w:val="center"/>
            </w:pPr>
            <w:r>
              <w:rPr>
                <w:b/>
                <w:color w:val="FFFFFF"/>
              </w:rPr>
              <w:t>Mécanisme</w:t>
            </w:r>
          </w:p>
        </w:tc>
        <w:tc>
          <w:tcPr>
            <w:shd w:val="clear" w:color="auto" w:fill="1F5C99"/>
          </w:tcPr>
          <w:p>
            <w:pPr>
              <w:jc w:val="center"/>
            </w:pPr>
            <w:r>
              <w:rPr>
                <w:b/>
                <w:color w:val="FFFFFF"/>
              </w:rPr>
              <w:t>Année 1</w:t>
            </w:r>
          </w:p>
        </w:tc>
        <w:tc>
          <w:tcPr>
            <w:shd w:val="clear" w:color="auto" w:fill="1F5C99"/>
          </w:tcPr>
          <w:p>
            <w:pPr>
              <w:jc w:val="center"/>
            </w:pPr>
            <w:r>
              <w:rPr>
                <w:b/>
                <w:color w:val="FFFFFF"/>
              </w:rPr>
              <w:t>Année 2</w:t>
            </w:r>
          </w:p>
        </w:tc>
        <w:tc>
          <w:tcPr>
            <w:shd w:val="clear" w:color="auto" w:fill="1F5C99"/>
          </w:tcPr>
          <w:p>
            <w:pPr>
              <w:jc w:val="center"/>
            </w:pPr>
            <w:r>
              <w:rPr>
                <w:b/>
                <w:color w:val="FFFFFF"/>
              </w:rPr>
              <w:t>Année 3</w:t>
            </w:r>
          </w:p>
        </w:tc>
      </w:tr>
      <w:tr>
        <w:tc>
          <w:tcPr>
            <w:shd w:val="clear" w:color="auto" w:fill="DEEAF1"/>
          </w:tcPr>
          <w:p>
            <w:r>
              <w:rPr/>
              <w:t xml:space="preserve">Abonnements Premium</w:t>
            </w:r>
          </w:p>
        </w:tc>
        <w:tc>
          <w:tcPr>
            <w:shd w:val="clear" w:color="auto" w:fill="DEEAF1"/>
          </w:tcPr>
          <w:p>
            <w:r>
              <w:rPr/>
              <w:t xml:space="preserve">9,99 $/mois ou 79,99 $/an</w:t>
            </w:r>
          </w:p>
        </w:tc>
        <w:tc>
          <w:tcPr>
            <w:shd w:val="clear" w:color="auto" w:fill="DEEAF1"/>
          </w:tcPr>
          <w:p>
            <w:r>
              <w:rPr/>
              <w:t xml:space="preserve">32 000 $</w:t>
            </w:r>
          </w:p>
        </w:tc>
        <w:tc>
          <w:tcPr>
            <w:shd w:val="clear" w:color="auto" w:fill="DEEAF1"/>
          </w:tcPr>
          <w:p>
            <w:r>
              <w:rPr/>
              <w:t xml:space="preserve">144 000 $</w:t>
            </w:r>
          </w:p>
        </w:tc>
        <w:tc>
          <w:tcPr>
            <w:shd w:val="clear" w:color="auto" w:fill="DEEAF1"/>
          </w:tcPr>
          <w:p>
            <w:r>
              <w:rPr/>
              <w:t xml:space="preserve">403 200 $</w:t>
            </w:r>
          </w:p>
        </w:tc>
      </w:tr>
      <w:tr>
        <w:tc>
          <w:tcPr>
            <w:shd w:val="clear" w:color="auto" w:fill="FFFFFF"/>
          </w:tcPr>
          <w:p>
            <w:r>
              <w:rPr/>
              <w:t xml:space="preserve">Partenariats B2B</w:t>
            </w:r>
          </w:p>
        </w:tc>
        <w:tc>
          <w:tcPr>
            <w:shd w:val="clear" w:color="auto" w:fill="FFFFFF"/>
          </w:tcPr>
          <w:p>
            <w:r>
              <w:rPr/>
              <w:t xml:space="preserve">Licence API + analyse données</w:t>
            </w:r>
          </w:p>
        </w:tc>
        <w:tc>
          <w:tcPr>
            <w:shd w:val="clear" w:color="auto" w:fill="FFFFFF"/>
          </w:tcPr>
          <w:p>
            <w:r>
              <w:rPr/>
              <w:t xml:space="preserve">16 000 $</w:t>
            </w:r>
          </w:p>
        </w:tc>
        <w:tc>
          <w:tcPr>
            <w:shd w:val="clear" w:color="auto" w:fill="FFFFFF"/>
          </w:tcPr>
          <w:p>
            <w:r>
              <w:rPr/>
              <w:t xml:space="preserve">40 000 $</w:t>
            </w:r>
          </w:p>
        </w:tc>
        <w:tc>
          <w:tcPr>
            <w:shd w:val="clear" w:color="auto" w:fill="FFFFFF"/>
          </w:tcPr>
          <w:p>
            <w:r>
              <w:rPr/>
              <w:t xml:space="preserve">96 000 $</w:t>
            </w:r>
          </w:p>
        </w:tc>
      </w:tr>
      <w:tr>
        <w:tc>
          <w:tcPr>
            <w:shd w:val="clear" w:color="auto" w:fill="DEEAF1"/>
          </w:tcPr>
          <w:p>
            <w:r>
              <w:rPr/>
              <w:t xml:space="preserve">Publicité</w:t>
            </w:r>
          </w:p>
        </w:tc>
        <w:tc>
          <w:tcPr>
            <w:shd w:val="clear" w:color="auto" w:fill="DEEAF1"/>
          </w:tcPr>
          <w:p>
            <w:r>
              <w:rPr/>
              <w:t xml:space="preserve">Réseau programmatique (tier gratuit)</w:t>
            </w:r>
          </w:p>
        </w:tc>
        <w:tc>
          <w:tcPr>
            <w:shd w:val="clear" w:color="auto" w:fill="DEEAF1"/>
          </w:tcPr>
          <w:p>
            <w:r>
              <w:rPr/>
              <w:t xml:space="preserve">5 000 $</w:t>
            </w:r>
          </w:p>
        </w:tc>
        <w:tc>
          <w:tcPr>
            <w:shd w:val="clear" w:color="auto" w:fill="DEEAF1"/>
          </w:tcPr>
          <w:p>
            <w:r>
              <w:rPr/>
              <w:t xml:space="preserve">18 000 $</w:t>
            </w:r>
          </w:p>
        </w:tc>
        <w:tc>
          <w:tcPr>
            <w:shd w:val="clear" w:color="auto" w:fill="DEEAF1"/>
          </w:tcPr>
          <w:p>
            <w:r>
              <w:rPr/>
              <w:t xml:space="preserve">45 000 $</w:t>
            </w:r>
          </w:p>
        </w:tc>
      </w:tr>
      <w:tr>
        <w:tc>
          <w:tcPr>
            <w:shd w:val="clear" w:color="auto" w:fill="FFFFFF"/>
          </w:tcPr>
          <w:p>
            <w:r>
              <w:rPr>
                <w:b/>
              </w:rPr>
              <w:t xml:space="preserve">Total</w:t>
            </w:r>
          </w:p>
        </w:tc>
        <w:tc>
          <w:tcPr>
            <w:shd w:val="clear" w:color="auto" w:fill="FFFFFF"/>
          </w:tcPr>
          <w:p>
            <w:r>
              <w:rPr>
                <w:b/>
              </w:rPr>
              <w:t xml:space="preserve"/>
            </w:r>
          </w:p>
        </w:tc>
        <w:tc>
          <w:tcPr>
            <w:shd w:val="clear" w:color="auto" w:fill="FFFFFF"/>
          </w:tcPr>
          <w:p>
            <w:r>
              <w:rPr>
                <w:b/>
              </w:rPr>
              <w:t xml:space="preserve">53 000 $</w:t>
            </w:r>
          </w:p>
        </w:tc>
        <w:tc>
          <w:tcPr>
            <w:shd w:val="clear" w:color="auto" w:fill="FFFFFF"/>
          </w:tcPr>
          <w:p>
            <w:r>
              <w:rPr>
                <w:b/>
              </w:rPr>
              <w:t xml:space="preserve">202 000 $</w:t>
            </w:r>
          </w:p>
        </w:tc>
        <w:tc>
          <w:tcPr>
            <w:shd w:val="clear" w:color="auto" w:fill="FFFFFF"/>
          </w:tcPr>
          <w:p>
            <w:r>
              <w:rPr>
                <w:b/>
              </w:rPr>
              <w:t xml:space="preserve">544 200 $</w:t>
            </w:r>
          </w:p>
        </w:tc>
      </w:tr>
    </w:tbl>
    <w:p>
      <w:pPr>
        <w:pStyle w:val="Heading1"/>
      </w:pPr>
      <w:r>
        <w:rPr/>
        <w:t xml:space="preserve">7. Plan Opérationnel</w:t>
      </w:r>
    </w:p>
    <w:p>
      <w:pPr>
        <w:pStyle w:val="Heading2"/>
      </w:pPr>
      <w:r>
        <w:rPr/>
        <w:t xml:space="preserve">Équipe fondatrice</w:t>
      </w:r>
    </w:p>
    <w:tbl>
      <w:tblPr>
        <w:tblStyle w:val="TableGrid"/>
        <w:tblW w:w="9360" w:type="dxa"/>
        <w:tblLook w:val="04A0" w:firstRow="1" w:lastRow="0" w:firstColumn="1" w:lastColumn="0" w:noHBand="0" w:noVBand="1"/>
      </w:tblPr>
      <w:tr>
        <w:trPr>
          <w:tblHeader/>
        </w:trPr>
        <w:tc>
          <w:tcPr>
            <w:shd w:val="clear" w:color="auto" w:fill="1F5C99"/>
          </w:tcPr>
          <w:p>
            <w:pPr>
              <w:jc w:val="center"/>
            </w:pPr>
            <w:r>
              <w:rPr>
                <w:b/>
                <w:color w:val="FFFFFF"/>
              </w:rPr>
              <w:t>Rôle</w:t>
            </w:r>
          </w:p>
        </w:tc>
        <w:tc>
          <w:tcPr>
            <w:shd w:val="clear" w:color="auto" w:fill="1F5C99"/>
          </w:tcPr>
          <w:p>
            <w:pPr>
              <w:jc w:val="center"/>
            </w:pPr>
            <w:r>
              <w:rPr>
                <w:b/>
                <w:color w:val="FFFFFF"/>
              </w:rPr>
              <w:t>Responsabilités</w:t>
            </w:r>
          </w:p>
        </w:tc>
        <w:tc>
          <w:tcPr>
            <w:shd w:val="clear" w:color="auto" w:fill="1F5C99"/>
          </w:tcPr>
          <w:p>
            <w:pPr>
              <w:jc w:val="center"/>
            </w:pPr>
            <w:r>
              <w:rPr>
                <w:b/>
                <w:color w:val="FFFFFF"/>
              </w:rPr>
              <w:t>Expérience</w:t>
            </w:r>
          </w:p>
        </w:tc>
      </w:tr>
      <w:tr>
        <w:tc>
          <w:tcPr>
            <w:shd w:val="clear" w:color="auto" w:fill="DEEAF1"/>
          </w:tcPr>
          <w:p>
            <w:r>
              <w:rPr/>
              <w:t xml:space="preserve">PDG / Co-fondateur</w:t>
            </w:r>
          </w:p>
        </w:tc>
        <w:tc>
          <w:tcPr>
            <w:shd w:val="clear" w:color="auto" w:fill="DEEAF1"/>
          </w:tcPr>
          <w:p>
            <w:r>
              <w:rPr/>
              <w:t xml:space="preserve">Vision, stratégie, partenariats B2B, levée de fonds</w:t>
            </w:r>
          </w:p>
        </w:tc>
        <w:tc>
          <w:tcPr>
            <w:shd w:val="clear" w:color="auto" w:fill="DEEAF1"/>
          </w:tcPr>
          <w:p>
            <w:r>
              <w:rPr/>
              <w:t xml:space="preserve">8 ans technologie, MBA HEC Montréal</w:t>
            </w:r>
          </w:p>
        </w:tc>
      </w:tr>
      <w:tr>
        <w:tc>
          <w:tcPr>
            <w:shd w:val="clear" w:color="auto" w:fill="FFFFFF"/>
          </w:tcPr>
          <w:p>
            <w:r>
              <w:rPr/>
              <w:t xml:space="preserve">CTO / Co-fondateur</w:t>
            </w:r>
          </w:p>
        </w:tc>
        <w:tc>
          <w:tcPr>
            <w:shd w:val="clear" w:color="auto" w:fill="FFFFFF"/>
          </w:tcPr>
          <w:p>
            <w:r>
              <w:rPr/>
              <w:t xml:space="preserve">Architecture technique, développement backend, DevOps</w:t>
            </w:r>
          </w:p>
        </w:tc>
        <w:tc>
          <w:tcPr>
            <w:shd w:val="clear" w:color="auto" w:fill="FFFFFF"/>
          </w:tcPr>
          <w:p>
            <w:r>
              <w:rPr/>
              <w:t xml:space="preserve">10 ans développement full-stack, ex-Shopify</w:t>
            </w:r>
          </w:p>
        </w:tc>
      </w:tr>
      <w:tr>
        <w:tc>
          <w:tcPr>
            <w:shd w:val="clear" w:color="auto" w:fill="DEEAF1"/>
          </w:tcPr>
          <w:p>
            <w:r>
              <w:rPr/>
              <w:t xml:space="preserve">Directeur·trice Produit</w:t>
            </w:r>
          </w:p>
        </w:tc>
        <w:tc>
          <w:tcPr>
            <w:shd w:val="clear" w:color="auto" w:fill="DEEAF1"/>
          </w:tcPr>
          <w:p>
            <w:r>
              <w:rPr/>
              <w:t xml:space="preserve">UX/UI, feuille de route, recherche utilisateurs</w:t>
            </w:r>
          </w:p>
        </w:tc>
        <w:tc>
          <w:tcPr>
            <w:shd w:val="clear" w:color="auto" w:fill="DEEAF1"/>
          </w:tcPr>
          <w:p>
            <w:r>
              <w:rPr/>
              <w:t xml:space="preserve">6 ans gestion de produit SaaS</w:t>
            </w:r>
          </w:p>
        </w:tc>
      </w:tr>
    </w:tbl>
    <w:p>
      <w:pPr>
        <w:pStyle w:val="Heading2"/>
      </w:pPr>
      <w:r>
        <w:rPr/>
        <w:t xml:space="preserve">Infrastructure technologique</w:t>
      </w:r>
    </w:p>
    <w:tbl>
      <w:tblPr>
        <w:tblStyle w:val="TableGrid"/>
        <w:tblW w:w="9360" w:type="dxa"/>
        <w:tblLook w:val="04A0" w:firstRow="1" w:lastRow="0" w:firstColumn="1" w:lastColumn="0" w:noHBand="0" w:noVBand="1"/>
      </w:tblPr>
      <w:tr>
        <w:trPr>
          <w:tblHeader/>
        </w:trPr>
        <w:tc>
          <w:tcPr>
            <w:shd w:val="clear" w:color="auto" w:fill="1F5C99"/>
          </w:tcPr>
          <w:p>
            <w:pPr>
              <w:jc w:val="center"/>
            </w:pPr>
            <w:r>
              <w:rPr>
                <w:b/>
                <w:color w:val="FFFFFF"/>
              </w:rPr>
              <w:t>Composante</w:t>
            </w:r>
          </w:p>
        </w:tc>
        <w:tc>
          <w:tcPr>
            <w:shd w:val="clear" w:color="auto" w:fill="1F5C99"/>
          </w:tcPr>
          <w:p>
            <w:pPr>
              <w:jc w:val="center"/>
            </w:pPr>
            <w:r>
              <w:rPr>
                <w:b/>
                <w:color w:val="FFFFFF"/>
              </w:rPr>
              <w:t>Technologie</w:t>
            </w:r>
          </w:p>
        </w:tc>
        <w:tc>
          <w:tcPr>
            <w:shd w:val="clear" w:color="auto" w:fill="1F5C99"/>
          </w:tcPr>
          <w:p>
            <w:pPr>
              <w:jc w:val="center"/>
            </w:pPr>
            <w:r>
              <w:rPr>
                <w:b/>
                <w:color w:val="FFFFFF"/>
              </w:rPr>
              <w:t>Justification</w:t>
            </w:r>
          </w:p>
        </w:tc>
      </w:tr>
      <w:tr>
        <w:tc>
          <w:tcPr>
            <w:shd w:val="clear" w:color="auto" w:fill="DEEAF1"/>
          </w:tcPr>
          <w:p>
            <w:r>
              <w:rPr/>
              <w:t xml:space="preserve">Backend API</w:t>
            </w:r>
          </w:p>
        </w:tc>
        <w:tc>
          <w:tcPr>
            <w:shd w:val="clear" w:color="auto" w:fill="DEEAF1"/>
          </w:tcPr>
          <w:p>
            <w:r>
              <w:rPr/>
              <w:t xml:space="preserve">Node.js + TypeScript + PostgreSQL</w:t>
            </w:r>
          </w:p>
        </w:tc>
        <w:tc>
          <w:tcPr>
            <w:shd w:val="clear" w:color="auto" w:fill="DEEAF1"/>
          </w:tcPr>
          <w:p>
            <w:r>
              <w:rPr/>
              <w:t xml:space="preserve">Performance, typage fort, maturité</w:t>
            </w:r>
          </w:p>
        </w:tc>
      </w:tr>
      <w:tr>
        <w:tc>
          <w:tcPr>
            <w:shd w:val="clear" w:color="auto" w:fill="FFFFFF"/>
          </w:tcPr>
          <w:p>
            <w:r>
              <w:rPr/>
              <w:t xml:space="preserve">Frontend web</w:t>
            </w:r>
          </w:p>
        </w:tc>
        <w:tc>
          <w:tcPr>
            <w:shd w:val="clear" w:color="auto" w:fill="FFFFFF"/>
          </w:tcPr>
          <w:p>
            <w:r>
              <w:rPr/>
              <w:t xml:space="preserve">React + Next.js</w:t>
            </w:r>
          </w:p>
        </w:tc>
        <w:tc>
          <w:tcPr>
            <w:shd w:val="clear" w:color="auto" w:fill="FFFFFF"/>
          </w:tcPr>
          <w:p>
            <w:r>
              <w:rPr/>
              <w:t xml:space="preserve">SEO, performance, écosystème riche</w:t>
            </w:r>
          </w:p>
        </w:tc>
      </w:tr>
      <w:tr>
        <w:tc>
          <w:tcPr>
            <w:shd w:val="clear" w:color="auto" w:fill="DEEAF1"/>
          </w:tcPr>
          <w:p>
            <w:r>
              <w:rPr/>
              <w:t xml:space="preserve">Application mobile</w:t>
            </w:r>
          </w:p>
        </w:tc>
        <w:tc>
          <w:tcPr>
            <w:shd w:val="clear" w:color="auto" w:fill="DEEAF1"/>
          </w:tcPr>
          <w:p>
            <w:r>
              <w:rPr/>
              <w:t xml:space="preserve">React Native</w:t>
            </w:r>
          </w:p>
        </w:tc>
        <w:tc>
          <w:tcPr>
            <w:shd w:val="clear" w:color="auto" w:fill="DEEAF1"/>
          </w:tcPr>
          <w:p>
            <w:r>
              <w:rPr/>
              <w:t xml:space="preserve">Code partagé iOS/Android</w:t>
            </w:r>
          </w:p>
        </w:tc>
      </w:tr>
      <w:tr>
        <w:tc>
          <w:tcPr>
            <w:shd w:val="clear" w:color="auto" w:fill="FFFFFF"/>
          </w:tcPr>
          <w:p>
            <w:r>
              <w:rPr/>
              <w:t xml:space="preserve">Infrastructure cloud</w:t>
            </w:r>
          </w:p>
        </w:tc>
        <w:tc>
          <w:tcPr>
            <w:shd w:val="clear" w:color="auto" w:fill="FFFFFF"/>
          </w:tcPr>
          <w:p>
            <w:r>
              <w:rPr/>
              <w:t xml:space="preserve">AWS (ECS + RDS + S3 + CloudFront)</w:t>
            </w:r>
          </w:p>
        </w:tc>
        <w:tc>
          <w:tcPr>
            <w:shd w:val="clear" w:color="auto" w:fill="FFFFFF"/>
          </w:tcPr>
          <w:p>
            <w:r>
              <w:rPr/>
              <w:t xml:space="preserve">Fiabilité, scalabilité, conformité PIPEDA</w:t>
            </w:r>
          </w:p>
        </w:tc>
      </w:tr>
      <w:tr>
        <w:tc>
          <w:tcPr>
            <w:shd w:val="clear" w:color="auto" w:fill="DEEAF1"/>
          </w:tcPr>
          <w:p>
            <w:r>
              <w:rPr/>
              <w:t xml:space="preserve">Authentification</w:t>
            </w:r>
          </w:p>
        </w:tc>
        <w:tc>
          <w:tcPr>
            <w:shd w:val="clear" w:color="auto" w:fill="DEEAF1"/>
          </w:tcPr>
          <w:p>
            <w:r>
              <w:rPr/>
              <w:t xml:space="preserve">Auth0</w:t>
            </w:r>
          </w:p>
        </w:tc>
        <w:tc>
          <w:tcPr>
            <w:shd w:val="clear" w:color="auto" w:fill="DEEAF1"/>
          </w:tcPr>
          <w:p>
            <w:r>
              <w:rPr/>
              <w:t xml:space="preserve">Sécurité, MFA, conformité</w:t>
            </w:r>
          </w:p>
        </w:tc>
      </w:tr>
      <w:tr>
        <w:tc>
          <w:tcPr>
            <w:shd w:val="clear" w:color="auto" w:fill="FFFFFF"/>
          </w:tcPr>
          <w:p>
            <w:r>
              <w:rPr/>
              <w:t xml:space="preserve">Paiements</w:t>
            </w:r>
          </w:p>
        </w:tc>
        <w:tc>
          <w:tcPr>
            <w:shd w:val="clear" w:color="auto" w:fill="FFFFFF"/>
          </w:tcPr>
          <w:p>
            <w:r>
              <w:rPr/>
              <w:t xml:space="preserve">Stripe</w:t>
            </w:r>
          </w:p>
        </w:tc>
        <w:tc>
          <w:tcPr>
            <w:shd w:val="clear" w:color="auto" w:fill="FFFFFF"/>
          </w:tcPr>
          <w:p>
            <w:r>
              <w:rPr/>
              <w:t xml:space="preserve">Leader mondial, support CAD</w:t>
            </w:r>
          </w:p>
        </w:tc>
      </w:tr>
      <w:tr>
        <w:tc>
          <w:tcPr>
            <w:shd w:val="clear" w:color="auto" w:fill="DEEAF1"/>
          </w:tcPr>
          <w:p>
            <w:r>
              <w:rPr/>
              <w:t xml:space="preserve">CI/CD</w:t>
            </w:r>
          </w:p>
        </w:tc>
        <w:tc>
          <w:tcPr>
            <w:shd w:val="clear" w:color="auto" w:fill="DEEAF1"/>
          </w:tcPr>
          <w:p>
            <w:r>
              <w:rPr/>
              <w:t xml:space="preserve">GitHub Actions</w:t>
            </w:r>
          </w:p>
        </w:tc>
        <w:tc>
          <w:tcPr>
            <w:shd w:val="clear" w:color="auto" w:fill="DEEAF1"/>
          </w:tcPr>
          <w:p>
            <w:r>
              <w:rPr/>
              <w:t xml:space="preserve">Intégration native, déploiements automatisés</w:t>
            </w:r>
          </w:p>
        </w:tc>
      </w:tr>
      <w:tr>
        <w:tc>
          <w:tcPr>
            <w:shd w:val="clear" w:color="auto" w:fill="FFFFFF"/>
          </w:tcPr>
          <w:p>
            <w:r>
              <w:rPr/>
              <w:t xml:space="preserve">Hébergement</w:t>
            </w:r>
          </w:p>
        </w:tc>
        <w:tc>
          <w:tcPr>
            <w:shd w:val="clear" w:color="auto" w:fill="FFFFFF"/>
          </w:tcPr>
          <w:p>
            <w:r>
              <w:rPr/>
              <w:t xml:space="preserve">AWS ca-central-1 (Montréal)</w:t>
            </w:r>
          </w:p>
        </w:tc>
        <w:tc>
          <w:tcPr>
            <w:shd w:val="clear" w:color="auto" w:fill="FFFFFF"/>
          </w:tcPr>
          <w:p>
            <w:r>
              <w:rPr/>
              <w:t xml:space="preserve">Données au Canada, conformité Loi 25</w:t>
            </w:r>
          </w:p>
        </w:tc>
      </w:tr>
    </w:tbl>
    <w:p>
      <w:pPr>
        <w:pStyle w:val="Heading1"/>
      </w:pPr>
      <w:r>
        <w:rPr/>
        <w:t xml:space="preserve">8. Plan Financier (Résumé)</w:t>
      </w:r>
    </w:p>
    <w:p>
      <w:pPr>
        <w:pStyle w:val="Normal"/>
      </w:pPr>
      <w:r>
        <w:rPr/>
        <w:t xml:space="preserve">Pour le plan financier complet, voir le document « PanierClair — Plan Financier 2026–2028 ».</w:t>
      </w:r>
    </w:p>
    <w:tbl>
      <w:tblPr>
        <w:tblStyle w:val="TableGrid"/>
        <w:tblW w:w="9360" w:type="dxa"/>
        <w:tblLook w:val="04A0" w:firstRow="1" w:lastRow="0" w:firstColumn="1" w:lastColumn="0" w:noHBand="0" w:noVBand="1"/>
      </w:tblPr>
      <w:tr>
        <w:trPr>
          <w:tblHeader/>
        </w:trPr>
        <w:tc>
          <w:tcPr>
            <w:shd w:val="clear" w:color="auto" w:fill="1F5C99"/>
          </w:tcPr>
          <w:p>
            <w:pPr>
              <w:jc w:val="center"/>
            </w:pPr>
            <w:r>
              <w:rPr>
                <w:b/>
                <w:color w:val="FFFFFF"/>
              </w:rPr>
              <w:t>Indicateur</w:t>
            </w:r>
          </w:p>
        </w:tc>
        <w:tc>
          <w:tcPr>
            <w:shd w:val="clear" w:color="auto" w:fill="1F5C99"/>
          </w:tcPr>
          <w:p>
            <w:pPr>
              <w:jc w:val="center"/>
            </w:pPr>
            <w:r>
              <w:rPr>
                <w:b/>
                <w:color w:val="FFFFFF"/>
              </w:rPr>
              <w:t>Année 1</w:t>
            </w:r>
          </w:p>
        </w:tc>
        <w:tc>
          <w:tcPr>
            <w:shd w:val="clear" w:color="auto" w:fill="1F5C99"/>
          </w:tcPr>
          <w:p>
            <w:pPr>
              <w:jc w:val="center"/>
            </w:pPr>
            <w:r>
              <w:rPr>
                <w:b/>
                <w:color w:val="FFFFFF"/>
              </w:rPr>
              <w:t>Année 2</w:t>
            </w:r>
          </w:p>
        </w:tc>
        <w:tc>
          <w:tcPr>
            <w:shd w:val="clear" w:color="auto" w:fill="1F5C99"/>
          </w:tcPr>
          <w:p>
            <w:pPr>
              <w:jc w:val="center"/>
            </w:pPr>
            <w:r>
              <w:rPr>
                <w:b/>
                <w:color w:val="FFFFFF"/>
              </w:rPr>
              <w:t>Année 3</w:t>
            </w:r>
          </w:p>
        </w:tc>
      </w:tr>
      <w:tr>
        <w:tc>
          <w:tcPr>
            <w:shd w:val="clear" w:color="auto" w:fill="DEEAF1"/>
          </w:tcPr>
          <w:p>
            <w:r>
              <w:rPr/>
              <w:t xml:space="preserve">UAM</w:t>
            </w:r>
          </w:p>
        </w:tc>
        <w:tc>
          <w:tcPr>
            <w:shd w:val="clear" w:color="auto" w:fill="DEEAF1"/>
          </w:tcPr>
          <w:p>
            <w:r>
              <w:rPr/>
              <w:t xml:space="preserve">5 000</w:t>
            </w:r>
          </w:p>
        </w:tc>
        <w:tc>
          <w:tcPr>
            <w:shd w:val="clear" w:color="auto" w:fill="DEEAF1"/>
          </w:tcPr>
          <w:p>
            <w:r>
              <w:rPr/>
              <w:t xml:space="preserve">18 000</w:t>
            </w:r>
          </w:p>
        </w:tc>
        <w:tc>
          <w:tcPr>
            <w:shd w:val="clear" w:color="auto" w:fill="DEEAF1"/>
          </w:tcPr>
          <w:p>
            <w:r>
              <w:rPr/>
              <w:t xml:space="preserve">42 000</w:t>
            </w:r>
          </w:p>
        </w:tc>
      </w:tr>
      <w:tr>
        <w:tc>
          <w:tcPr>
            <w:shd w:val="clear" w:color="auto" w:fill="FFFFFF"/>
          </w:tcPr>
          <w:p>
            <w:r>
              <w:rPr/>
              <w:t xml:space="preserve">Abonnés Premium</w:t>
            </w:r>
          </w:p>
        </w:tc>
        <w:tc>
          <w:tcPr>
            <w:shd w:val="clear" w:color="auto" w:fill="FFFFFF"/>
          </w:tcPr>
          <w:p>
            <w:r>
              <w:rPr/>
              <w:t xml:space="preserve">400</w:t>
            </w:r>
          </w:p>
        </w:tc>
        <w:tc>
          <w:tcPr>
            <w:shd w:val="clear" w:color="auto" w:fill="FFFFFF"/>
          </w:tcPr>
          <w:p>
            <w:r>
              <w:rPr/>
              <w:t xml:space="preserve">1 800</w:t>
            </w:r>
          </w:p>
        </w:tc>
        <w:tc>
          <w:tcPr>
            <w:shd w:val="clear" w:color="auto" w:fill="FFFFFF"/>
          </w:tcPr>
          <w:p>
            <w:r>
              <w:rPr/>
              <w:t xml:space="preserve">5 040</w:t>
            </w:r>
          </w:p>
        </w:tc>
      </w:tr>
      <w:tr>
        <w:tc>
          <w:tcPr>
            <w:shd w:val="clear" w:color="auto" w:fill="DEEAF1"/>
          </w:tcPr>
          <w:p>
            <w:r>
              <w:rPr/>
              <w:t xml:space="preserve">Revenus totaux</w:t>
            </w:r>
          </w:p>
        </w:tc>
        <w:tc>
          <w:tcPr>
            <w:shd w:val="clear" w:color="auto" w:fill="DEEAF1"/>
          </w:tcPr>
          <w:p>
            <w:r>
              <w:rPr/>
              <w:t xml:space="preserve">53 000 $</w:t>
            </w:r>
          </w:p>
        </w:tc>
        <w:tc>
          <w:tcPr>
            <w:shd w:val="clear" w:color="auto" w:fill="DEEAF1"/>
          </w:tcPr>
          <w:p>
            <w:r>
              <w:rPr/>
              <w:t xml:space="preserve">202 000 $</w:t>
            </w:r>
          </w:p>
        </w:tc>
        <w:tc>
          <w:tcPr>
            <w:shd w:val="clear" w:color="auto" w:fill="DEEAF1"/>
          </w:tcPr>
          <w:p>
            <w:r>
              <w:rPr/>
              <w:t xml:space="preserve">544 200 $</w:t>
            </w:r>
          </w:p>
        </w:tc>
      </w:tr>
      <w:tr>
        <w:tc>
          <w:tcPr>
            <w:shd w:val="clear" w:color="auto" w:fill="FFFFFF"/>
          </w:tcPr>
          <w:p>
            <w:r>
              <w:rPr/>
              <w:t xml:space="preserve">Charges totales</w:t>
            </w:r>
          </w:p>
        </w:tc>
        <w:tc>
          <w:tcPr>
            <w:shd w:val="clear" w:color="auto" w:fill="FFFFFF"/>
          </w:tcPr>
          <w:p>
            <w:r>
              <w:rPr/>
              <w:t xml:space="preserve">255 000 $</w:t>
            </w:r>
          </w:p>
        </w:tc>
        <w:tc>
          <w:tcPr>
            <w:shd w:val="clear" w:color="auto" w:fill="FFFFFF"/>
          </w:tcPr>
          <w:p>
            <w:r>
              <w:rPr/>
              <w:t xml:space="preserve">404 000 $</w:t>
            </w:r>
          </w:p>
        </w:tc>
        <w:tc>
          <w:tcPr>
            <w:shd w:val="clear" w:color="auto" w:fill="FFFFFF"/>
          </w:tcPr>
          <w:p>
            <w:r>
              <w:rPr/>
              <w:t xml:space="preserve">604 000 $</w:t>
            </w:r>
          </w:p>
        </w:tc>
      </w:tr>
      <w:tr>
        <w:tc>
          <w:tcPr>
            <w:shd w:val="clear" w:color="auto" w:fill="DEEAF1"/>
          </w:tcPr>
          <w:p>
            <w:r>
              <w:rPr/>
              <w:t xml:space="preserve">Résultat net</w:t>
            </w:r>
          </w:p>
        </w:tc>
        <w:tc>
          <w:tcPr>
            <w:shd w:val="clear" w:color="auto" w:fill="DEEAF1"/>
          </w:tcPr>
          <w:p>
            <w:r>
              <w:rPr/>
              <w:t xml:space="preserve">-202 000 $</w:t>
            </w:r>
          </w:p>
        </w:tc>
        <w:tc>
          <w:tcPr>
            <w:shd w:val="clear" w:color="auto" w:fill="DEEAF1"/>
          </w:tcPr>
          <w:p>
            <w:r>
              <w:rPr/>
              <w:t xml:space="preserve">-202 000 $</w:t>
            </w:r>
          </w:p>
        </w:tc>
        <w:tc>
          <w:tcPr>
            <w:shd w:val="clear" w:color="auto" w:fill="DEEAF1"/>
          </w:tcPr>
          <w:p>
            <w:r>
              <w:rPr/>
              <w:t xml:space="preserve">-59 800 $</w:t>
            </w:r>
          </w:p>
        </w:tc>
      </w:tr>
    </w:tbl>
    <w:p>
      <w:pPr>
        <w:pStyle w:val="Heading1"/>
      </w:pPr>
      <w:r>
        <w:rPr/>
        <w:t xml:space="preserve">9. Risques et Mitigation</w:t>
      </w:r>
    </w:p>
    <w:tbl>
      <w:tblPr>
        <w:tblStyle w:val="TableGrid"/>
        <w:tblW w:w="9360" w:type="dxa"/>
        <w:tblLook w:val="04A0" w:firstRow="1" w:lastRow="0" w:firstColumn="1" w:lastColumn="0" w:noHBand="0" w:noVBand="1"/>
      </w:tblPr>
      <w:tr>
        <w:trPr>
          <w:tblHeader/>
        </w:trPr>
        <w:tc>
          <w:tcPr>
            <w:shd w:val="clear" w:color="auto" w:fill="1F5C99"/>
          </w:tcPr>
          <w:p>
            <w:pPr>
              <w:jc w:val="center"/>
            </w:pPr>
            <w:r>
              <w:rPr>
                <w:b/>
                <w:color w:val="FFFFFF"/>
              </w:rPr>
              <w:t>Risque</w:t>
            </w:r>
          </w:p>
        </w:tc>
        <w:tc>
          <w:tcPr>
            <w:shd w:val="clear" w:color="auto" w:fill="1F5C99"/>
          </w:tcPr>
          <w:p>
            <w:pPr>
              <w:jc w:val="center"/>
            </w:pPr>
            <w:r>
              <w:rPr>
                <w:b/>
                <w:color w:val="FFFFFF"/>
              </w:rPr>
              <w:t>Probabilité</w:t>
            </w:r>
          </w:p>
        </w:tc>
        <w:tc>
          <w:tcPr>
            <w:shd w:val="clear" w:color="auto" w:fill="1F5C99"/>
          </w:tcPr>
          <w:p>
            <w:pPr>
              <w:jc w:val="center"/>
            </w:pPr>
            <w:r>
              <w:rPr>
                <w:b/>
                <w:color w:val="FFFFFF"/>
              </w:rPr>
              <w:t>Impact</w:t>
            </w:r>
          </w:p>
        </w:tc>
        <w:tc>
          <w:tcPr>
            <w:shd w:val="clear" w:color="auto" w:fill="1F5C99"/>
          </w:tcPr>
          <w:p>
            <w:pPr>
              <w:jc w:val="center"/>
            </w:pPr>
            <w:r>
              <w:rPr>
                <w:b/>
                <w:color w:val="FFFFFF"/>
              </w:rPr>
              <w:t>Stratégie de mitigation</w:t>
            </w:r>
          </w:p>
        </w:tc>
      </w:tr>
      <w:tr>
        <w:tc>
          <w:tcPr>
            <w:shd w:val="clear" w:color="auto" w:fill="DEEAF1"/>
          </w:tcPr>
          <w:p>
            <w:r>
              <w:rPr/>
              <w:t xml:space="preserve">Adoption lente par les utilisateurs</w:t>
            </w:r>
          </w:p>
        </w:tc>
        <w:tc>
          <w:tcPr>
            <w:shd w:val="clear" w:color="auto" w:fill="DEEAF1"/>
          </w:tcPr>
          <w:p>
            <w:r>
              <w:rPr/>
              <w:t xml:space="preserve">Moyenne</w:t>
            </w:r>
          </w:p>
        </w:tc>
        <w:tc>
          <w:tcPr>
            <w:shd w:val="clear" w:color="auto" w:fill="DEEAF1"/>
          </w:tcPr>
          <w:p>
            <w:r>
              <w:rPr/>
              <w:t xml:space="preserve">Élevé</w:t>
            </w:r>
          </w:p>
        </w:tc>
        <w:tc>
          <w:tcPr>
            <w:shd w:val="clear" w:color="auto" w:fill="DEEAF1"/>
          </w:tcPr>
          <w:p>
            <w:r>
              <w:rPr/>
              <w:t xml:space="preserve">Programme de référencement + partenariats médias</w:t>
            </w:r>
          </w:p>
        </w:tc>
      </w:tr>
      <w:tr>
        <w:tc>
          <w:tcPr>
            <w:shd w:val="clear" w:color="auto" w:fill="FFFFFF"/>
          </w:tcPr>
          <w:p>
            <w:r>
              <w:rPr/>
              <w:t xml:space="preserve">Concurrence d'un acteur majeur (Google, Apple)</w:t>
            </w:r>
          </w:p>
        </w:tc>
        <w:tc>
          <w:tcPr>
            <w:shd w:val="clear" w:color="auto" w:fill="FFFFFF"/>
          </w:tcPr>
          <w:p>
            <w:r>
              <w:rPr/>
              <w:t xml:space="preserve">Faible</w:t>
            </w:r>
          </w:p>
        </w:tc>
        <w:tc>
          <w:tcPr>
            <w:shd w:val="clear" w:color="auto" w:fill="FFFFFF"/>
          </w:tcPr>
          <w:p>
            <w:r>
              <w:rPr/>
              <w:t xml:space="preserve">Très élevé</w:t>
            </w:r>
          </w:p>
        </w:tc>
        <w:tc>
          <w:tcPr>
            <w:shd w:val="clear" w:color="auto" w:fill="FFFFFF"/>
          </w:tcPr>
          <w:p>
            <w:r>
              <w:rPr/>
              <w:t xml:space="preserve">Positionnement hyper-local francophone difficile à répliquer</w:t>
            </w:r>
          </w:p>
        </w:tc>
      </w:tr>
      <w:tr>
        <w:tc>
          <w:tcPr>
            <w:shd w:val="clear" w:color="auto" w:fill="DEEAF1"/>
          </w:tcPr>
          <w:p>
            <w:r>
              <w:rPr/>
              <w:t xml:space="preserve">Difficulté à signer des partenariats B2B</w:t>
            </w:r>
          </w:p>
        </w:tc>
        <w:tc>
          <w:tcPr>
            <w:shd w:val="clear" w:color="auto" w:fill="DEEAF1"/>
          </w:tcPr>
          <w:p>
            <w:r>
              <w:rPr/>
              <w:t xml:space="preserve">Moyenne</w:t>
            </w:r>
          </w:p>
        </w:tc>
        <w:tc>
          <w:tcPr>
            <w:shd w:val="clear" w:color="auto" w:fill="DEEAF1"/>
          </w:tcPr>
          <w:p>
            <w:r>
              <w:rPr/>
              <w:t xml:space="preserve">Moyen</w:t>
            </w:r>
          </w:p>
        </w:tc>
        <w:tc>
          <w:tcPr>
            <w:shd w:val="clear" w:color="auto" w:fill="DEEAF1"/>
          </w:tcPr>
          <w:p>
            <w:r>
              <w:rPr/>
              <w:t xml:space="preserve">Offre pilote gratuite + accès données exclusives</w:t>
            </w:r>
          </w:p>
        </w:tc>
      </w:tr>
      <w:tr>
        <w:tc>
          <w:tcPr>
            <w:shd w:val="clear" w:color="auto" w:fill="FFFFFF"/>
          </w:tcPr>
          <w:p>
            <w:r>
              <w:rPr/>
              <w:t xml:space="preserve">Dépassement des coûts de développement</w:t>
            </w:r>
          </w:p>
        </w:tc>
        <w:tc>
          <w:tcPr>
            <w:shd w:val="clear" w:color="auto" w:fill="FFFFFF"/>
          </w:tcPr>
          <w:p>
            <w:r>
              <w:rPr/>
              <w:t xml:space="preserve">Moyenne</w:t>
            </w:r>
          </w:p>
        </w:tc>
        <w:tc>
          <w:tcPr>
            <w:shd w:val="clear" w:color="auto" w:fill="FFFFFF"/>
          </w:tcPr>
          <w:p>
            <w:r>
              <w:rPr/>
              <w:t xml:space="preserve">Moyen</w:t>
            </w:r>
          </w:p>
        </w:tc>
        <w:tc>
          <w:tcPr>
            <w:shd w:val="clear" w:color="auto" w:fill="FFFFFF"/>
          </w:tcPr>
          <w:p>
            <w:r>
              <w:rPr/>
              <w:t xml:space="preserve">Architecture modulaire, MVP d'abord, sprints agiles de 2 semaines</w:t>
            </w:r>
          </w:p>
        </w:tc>
      </w:tr>
      <w:tr>
        <w:tc>
          <w:tcPr>
            <w:shd w:val="clear" w:color="auto" w:fill="DEEAF1"/>
          </w:tcPr>
          <w:p>
            <w:r>
              <w:rPr/>
              <w:t xml:space="preserve">Attrition élevée (churn) des abonnés Premium</w:t>
            </w:r>
          </w:p>
        </w:tc>
        <w:tc>
          <w:tcPr>
            <w:shd w:val="clear" w:color="auto" w:fill="DEEAF1"/>
          </w:tcPr>
          <w:p>
            <w:r>
              <w:rPr/>
              <w:t xml:space="preserve">Moyenne</w:t>
            </w:r>
          </w:p>
        </w:tc>
        <w:tc>
          <w:tcPr>
            <w:shd w:val="clear" w:color="auto" w:fill="DEEAF1"/>
          </w:tcPr>
          <w:p>
            <w:r>
              <w:rPr/>
              <w:t xml:space="preserve">Élevé</w:t>
            </w:r>
          </w:p>
        </w:tc>
        <w:tc>
          <w:tcPr>
            <w:shd w:val="clear" w:color="auto" w:fill="DEEAF1"/>
          </w:tcPr>
          <w:p>
            <w:r>
              <w:rPr/>
              <w:t xml:space="preserve">Onboarding amélioré, gamification, programme fidélité</w:t>
            </w:r>
          </w:p>
        </w:tc>
      </w:tr>
      <w:tr>
        <w:tc>
          <w:tcPr>
            <w:shd w:val="clear" w:color="auto" w:fill="FFFFFF"/>
          </w:tcPr>
          <w:p>
            <w:r>
              <w:rPr/>
              <w:t xml:space="preserve">Problèmes de conformité Loi 25</w:t>
            </w:r>
          </w:p>
        </w:tc>
        <w:tc>
          <w:tcPr>
            <w:shd w:val="clear" w:color="auto" w:fill="FFFFFF"/>
          </w:tcPr>
          <w:p>
            <w:r>
              <w:rPr/>
              <w:t xml:space="preserve">Faible</w:t>
            </w:r>
          </w:p>
        </w:tc>
        <w:tc>
          <w:tcPr>
            <w:shd w:val="clear" w:color="auto" w:fill="FFFFFF"/>
          </w:tcPr>
          <w:p>
            <w:r>
              <w:rPr/>
              <w:t xml:space="preserve">Élevé</w:t>
            </w:r>
          </w:p>
        </w:tc>
        <w:tc>
          <w:tcPr>
            <w:shd w:val="clear" w:color="auto" w:fill="FFFFFF"/>
          </w:tcPr>
          <w:p>
            <w:r>
              <w:rPr/>
              <w:t xml:space="preserve">Avocat spécialisé retenu dès la phase d'amorçage</w:t>
            </w:r>
          </w:p>
        </w:tc>
      </w:tr>
      <w:tr>
        <w:tc>
          <w:tcPr>
            <w:shd w:val="clear" w:color="auto" w:fill="DEEAF1"/>
          </w:tcPr>
          <w:p>
            <w:r>
              <w:rPr/>
              <w:t xml:space="preserve">Pénurie de talent tech au Québec</w:t>
            </w:r>
          </w:p>
        </w:tc>
        <w:tc>
          <w:tcPr>
            <w:shd w:val="clear" w:color="auto" w:fill="DEEAF1"/>
          </w:tcPr>
          <w:p>
            <w:r>
              <w:rPr/>
              <w:t xml:space="preserve">Élevée</w:t>
            </w:r>
          </w:p>
        </w:tc>
        <w:tc>
          <w:tcPr>
            <w:shd w:val="clear" w:color="auto" w:fill="DEEAF1"/>
          </w:tcPr>
          <w:p>
            <w:r>
              <w:rPr/>
              <w:t xml:space="preserve">Moyen</w:t>
            </w:r>
          </w:p>
        </w:tc>
        <w:tc>
          <w:tcPr>
            <w:shd w:val="clear" w:color="auto" w:fill="DEEAF1"/>
          </w:tcPr>
          <w:p>
            <w:r>
              <w:rPr/>
              <w:t xml:space="preserve">Remote-first, salaires compétitifs, équité (ESOP)</w:t>
            </w:r>
          </w:p>
        </w:tc>
      </w:tr>
    </w:tbl>
    <w:p>
      <w:pPr>
        <w:pStyle w:val="Heading1"/>
      </w:pPr>
      <w:r>
        <w:rPr/>
        <w:t xml:space="preserve">10. Conclusion et Appel à l'Action</w:t>
      </w:r>
    </w:p>
    <w:p>
      <w:pPr>
        <w:pStyle w:val="Normal"/>
      </w:pPr>
      <w:r>
        <w:rPr/>
        <w:t xml:space="preserve">PanierClair se positionne au carrefour de deux tendances majeures : la numérisation du quotidien des familles québécoises et la pression croissante sur les budgets alimentaires. Notre solution comble un vide réel dans l'écosystème numérique francophone canadien — aucun concurrent actuel ne combine liste de courses intelligente, suivi budgétaire et intégration avec les épiceries québécoises dans une application entièrement en français.</w:t>
      </w:r>
    </w:p>
    <w:p>
      <w:pPr>
        <w:pStyle w:val="Normal"/>
      </w:pPr>
      <w:r>
        <w:rPr/>
        <w:t xml:space="preserve">Nous invitons les investisseurs alignés avec notre vision à se joindre à la Série A de 800 000 $ pour propulser PanierClair vers sa phase de croissance accélérée. Avec ce financement, PanierClair atteindra 42 000 utilisateurs actifs et 544 200 $ de revenus en an 3, établissant les bases d'une expansion pancanadienne francophone dès 2029.</w:t>
      </w:r>
    </w:p>
    <w:p>
      <w:pPr>
        <w:pStyle w:val="Normal"/>
      </w:pPr>
      <w:r>
        <w:rPr/>
        <w:t xml:space="preserve">Pour plus d'informations : contact@panierclair.ca | panierclair.ca — Document préparé en mars 2026 — Confidentiel</w:t>
      </w:r>
    </w:p>
    <w:p>
      <w:r>
        <w:drawing>
          <wp:inline xmlns:wp="http://schemas.openxmlformats.org/drawingml/2006/wordprocessingDrawing" distT="0" distB="0" distL="0" distR="0">
            <wp:extent cx="5486400" cy="3200400"/>
            <wp:effectExtent l="0" t="0" r="0" b="0"/>
            <wp:docPr id="1" name="Marché TAM / SAM / SOM"/>
            <wp:cNvGraphicFramePr/>
            <a:graphic xmlns:a="http://schemas.openxmlformats.org/drawingml/2006/main">
              <a:graphicData uri="http://schemas.openxmlformats.org/drawingml/2006/chart">
                <c:chart xmlns:c="http://schemas.openxmlformats.org/drawingml/2006/chart" xmlns:r="http://schemas.openxmlformats.org/officeDocument/2006/relationships" r:id="rId_chart1"/>
              </a:graphicData>
            </a:graphic>
          </wp:inline>
        </w:drawing>
      </w:r>
    </w:p>
    <w:sectPr>
      <w:footerReference w:type="default" r:id="rId_footer1"/>
      <w:pgSz w:w="12240" w:h="15840"/>
      <w:pgMar w:top="1440" w:right="1440" w:bottom="1440" w:left="1440" w:header="720" w:footer="720" w:gutter="0"/>
    </w:sectPr>
  </w:body>
</w:document>
</file>

<file path=word/footer1.xml><?xml version="1.0" encoding="utf-8"?>
<w:ftr xmlns:w="http://schemas.openxmlformats.org/wordprocessingml/2006/main" xmlns:r="http://schemas.openxmlformats.org/officeDocument/2006/relationships">
  <w:p>
    <w:pPr>
      <w:jc w:val="center"/>
      <w:rPr>
        <w:sz w:val="18"/>
        <w:szCs w:val="18"/>
      </w:rPr>
    </w:pPr>
    <w:r>
      <w:rPr>
        <w:sz w:val="18"/>
      </w:rPr>
      <w:t xml:space="preserve">PanierClair — Plan d'Affaires 2026 | Mars 2026 — Page </w:t>
    </w:r>
    <w:fldChar w:fldCharType="begin"/>
    <w:instrText> PAGE </w:instrText>
    <w:fldChar w:fldCharType="end"/>
    <w:r>
      <w:rPr>
        <w:sz w:val="18"/>
      </w:rPr>
      <w:t xml:space="preserve"> / </w:t>
    </w:r>
    <w:fldChar w:fldCharType="begin"/>
    <w:instrText> NUMPAGES </w:instrText>
    <w:fldChar w:fldCharType="end"/>
  </w:p>
</w:ftr>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cs="Calibri"/>
        <w:sz w:val="22"/>
        <w:szCs w:val="22"/>
        <w:lang w:val="fr-CA" w:eastAsia="fr-CA" w:bidi="ar-SA"/>
      </w:rPr>
    </w:rPrDefault>
  </w:docDefaults>
  <w:style w:type="paragraph" w:styleId="Normal">
    <w:name w:val="Normal"/>
    <w:qFormat/>
  </w:style>
  <w:style w:type="paragraph" w:styleId="Title">
    <w:name w:val="Title"/>
    <w:basedOn w:val="Normal"/>
    <w:pPr>
      <w:jc w:val="center"/>
      <w:spacing w:before="240" w:after="240"/>
    </w:pPr>
    <w:rPr>
      <w:rFonts w:ascii="Calibri Light" w:hAnsi="Calibri Light"/>
      <w:b/>
      <w:color w:val="1F5C99"/>
      <w:sz w:val="52"/>
      <w:szCs w:val="52"/>
    </w:rPr>
  </w:style>
  <w:style w:type="paragraph" w:styleId="Heading1">
    <w:name w:val="heading 1"/>
    <w:basedOn w:val="Normal"/>
    <w:next w:val="Normal"/>
    <w:pPr>
      <w:outlineLvl w:val="0"/>
      <w:spacing w:before="480" w:after="120"/>
      <w:pBdr>
        <w:bottom w:val="single" w:sz="4" w:space="4" w:color="1F5C99"/>
      </w:pBdr>
    </w:pPr>
    <w:rPr>
      <w:rFonts w:ascii="Calibri Light" w:hAnsi="Calibri Light"/>
      <w:b/>
      <w:color w:val="1F5C99"/>
      <w:sz w:val="32"/>
      <w:szCs w:val="32"/>
    </w:rPr>
  </w:style>
  <w:style w:type="paragraph" w:styleId="Heading2">
    <w:name w:val="heading 2"/>
    <w:basedOn w:val="Normal"/>
    <w:next w:val="Normal"/>
    <w:pPr>
      <w:outlineLvl w:val="1"/>
      <w:spacing w:before="360" w:after="80"/>
    </w:pPr>
    <w:rPr>
      <w:rFonts w:ascii="Calibri" w:hAnsi="Calibri"/>
      <w:b/>
      <w:color w:val="2E74B5"/>
      <w:sz w:val="26"/>
      <w:szCs w:val="26"/>
    </w:rPr>
  </w:style>
  <w:style w:type="paragraph" w:styleId="Heading3">
    <w:name w:val="heading 3"/>
    <w:basedOn w:val="Normal"/>
    <w:next w:val="Normal"/>
    <w:pPr>
      <w:outlineLvl w:val="2"/>
      <w:spacing w:before="280" w:after="60"/>
    </w:pPr>
    <w:rPr>
      <w:rFonts w:ascii="Calibri" w:hAnsi="Calibri"/>
      <w:b/>
      <w:color w:val="5B9BD5"/>
      <w:sz w:val="24"/>
      <w:szCs w:val="24"/>
    </w:rPr>
  </w:style>
  <w:style w:type="paragraph" w:styleId="TOCHeading">
    <w:name w:val="TOC Heading"/>
    <w:basedOn w:val="Heading1"/>
    <w:pPr>
      <w:spacing w:before="240" w:after="120"/>
    </w:pPr>
  </w:style>
  <w:style w:type="paragraph" w:styleId="TOC1">
    <w:name w:val="toc 1"/>
    <w:basedOn w:val="Normal"/>
    <w:pPr>
      <w:spacing w:before="80" w:after="40"/>
      <w:ind w:left="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Normal">
    <w:name w:val="Normal Table"/>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_styles"  Type="http://schemas.openxmlformats.org/officeDocument/2006/relationships/styles"  Target="styles.xml"/>
  <Relationship Id="rId_settings" Type="http://schemas.openxmlformats.org/officeDocument/2006/relationships/settings" Target="settings.xml"/>
  <Relationship Id="rId_footer1" Type="http://schemas.openxmlformats.org/officeDocument/2006/relationships/footer" Target="footer1.xml"/>
  <Relationship Id="rId_chart1" Type="http://schemas.openxmlformats.org/officeDocument/2006/relationships/chart" Target="charts/chart1.xml"/>
</Relationships>
</file>

<file path=word/_rels/footer1.xml.rels><?xml version="1.0" encoding="UTF-8" standalone="yes"?>
<Relationships xmlns="http://schemas.openxmlformats.org/package/2006/relationships">
</Relationships>
</file>

<file path=word/charts/_rels/chart1.xml.rels><?xml version="1.0" encoding="UTF-8" standalone="yes"?>
<Relationships xmlns="http://schemas.openxmlformats.org/package/2006/relationships">
</Relationships>
</file>

<file path=word/charts/chart1.xml><?xml version="1.0" encoding="utf-8"?>
<c:chartSpace xmlns:c="http://schemas.openxmlformats.org/drawingml/2006/chart" xmlns:a="http://schemas.openxmlformats.org/drawingml/2006/main" xmlns:r="http://schemas.openxmlformats.org/officeDocument/2006/relationships">
  <c:lang val="fr-CA"/>
  <c:roundedCorners val="0"/>
  <c:chart>
    <c:title>
      <c:tx>
        <c:rich>
          <a:bodyPr/>
          <a:lstStyle/>
          <a:p>
            <a:r>
              <a:rPr lang="fr-CA" b="1"/>
              <a:t>Taille du marché — TAM / SAM / SOM</a:t>
            </a:r>
          </a:p>
        </c:rich>
      </c:tx>
      <c:overlay val="0"/>
    </c:title>
    <c:autoTitleDeleted val="0"/>
    <c:plotArea>
      <c:layout/>
      <c:doughnutChart>
        <c:varyColors val="1"/>
        <c:ser>
          <c:idx val="0"/>
          <c:order val="0"/>
          <c:tx>
            <c:strRef>
              <c:f>Sheet1!$A$1</c:f>
              <c:strCache>
                <c:ptCount val="1"/>
                <c:pt idx="0">
                  <c:v>Taille du marché — TAM / SAM / SOM</c:v>
                </c:pt>
              </c:strCache>
            </c:strRef>
          </c:tx>
          <c:cat>
            <c:strRef>
              <c:f>Sheet1!$A$2</c:f>
              <c:strCache>
                <c:ptCount val="3"/>
                <c:pt idx="0">
                  <c:v>TAM (2,1 Md$)</c:v>
                </c:pt>
                <c:pt idx="1">
                  <c:v>SAM (420 M$)</c:v>
                </c:pt>
                <c:pt idx="2">
                  <c:v>SOM (21 M$)</c:v>
                </c:pt>
              </c:strCache>
            </c:strRef>
          </c:cat>
          <c:val>
            <c:numRef>
              <c:f>Sheet1!$B$2</c:f>
              <c:numCache>
                <c:formatCode>General</c:formatCode>
                <c:ptCount val="3"/>
                <c:pt idx="0">
                  <c:v>2100</c:v>
                </c:pt>
                <c:pt idx="1">
                  <c:v>420</c:v>
                </c:pt>
                <c:pt idx="2">
                  <c:v>21</c:v>
                </c:pt>
              </c:numCache>
            </c:numRef>
          </c:val>
        </c:ser>
        <c:firstSliceAng val="0"/>
        <c:holeSize val="50"/>
      </c:doughnutChart>
    </c:plotArea>
    <c:legend>
      <c:legendPos val="r"/>
    </c:legend>
    <c:plotVisOnly val="1"/>
  </c:chart>
</c:chartSpace>
</file>

<file path=docProps/app.xml><?xml version="1.0" encoding="utf-8"?>
<Properties xmlns="http://schemas.openxmlformats.org/officeDocument/2006/extended-properties">
  <Application>Microsoft Office Word</Application>
  <Company>PanierClair</Company>
</Properties>
</file>

<file path=docProps/core.xml><?xml version="1.0" encoding="utf-8"?>
<cp:coreProperties xmlns:cp="http://schemas.openxmlformats.org/package/2006/metadata/core-properties" xmlns:dc="http://purl.org/dc/elements/1.1/" xmlns:dcterms="http://purl.org/dc/terms/" xmlns:xsi="http://www.w3.org/2001/XMLSchema-instance">
  <dc:title>PanierClair — Plan d'Affaires 2026</dc:title>
  <dc:creator>PanierClair</dc:creator>
  <cp:lastModifiedBy>PanierClair</cp:lastModifiedBy>
  <dcterms:created xsi:type="dcterms:W3CDTF">2026-03-01T00:00:00Z</dcterms:created>
  <dcterms:modified xsi:type="dcterms:W3CDTF">2026-03-01T00:00:00Z</dcterms:modified>
</cp:coreProperties>
</file>