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http://schemas.openxmlformats.org/drawingml/2006/chart" mc:Ignorable="w14 w15 w16se wp14">
  <w:body>
    <w:p>
      <w:pPr>
        <w:pStyle w:val="Title"/>
      </w:pPr>
      <w:r>
        <w:rPr/>
        <w:t xml:space="preserve">PanierClair — Plan Financier 2026–2028</w:t>
      </w:r>
    </w:p>
    <w:p>
      <w:pPr>
        <w:pStyle w:val="TOCHeading"/>
      </w:pPr>
      <w:r>
        <w:t>Table des matières</w:t>
      </w:r>
    </w:p>
    <w:p>
      <w:pPr>
        <w:pStyle w:val="TOC1"/>
      </w:pPr>
      <w:fldSimple w:instr=" TOC \o &quot;1-3&quot; \h \z \u ">
        <w:r>
          <w:rPr>
            <w:noProof/>
          </w:rPr>
          <w:t>[ Mettre à jour la table des matières dans Word : clic droit → Mettre à jour les champs ]</w:t>
        </w:r>
      </w:fldSimple>
    </w:p>
    <w:p>
      <w:r>
        <w:br w:type="page"/>
      </w:r>
    </w:p>
    <w:p>
      <w:pPr>
        <w:pStyle w:val="Heading1"/>
      </w:pPr>
      <w:r>
        <w:rPr/>
        <w:t xml:space="preserve">1. Résumé Exécutif</w:t>
      </w:r>
    </w:p>
    <w:p>
      <w:pPr>
        <w:pStyle w:val="Normal"/>
      </w:pPr>
      <w:r>
        <w:rPr/>
        <w:t xml:space="preserve">PanierClair est une application SaaS mobile et web destinée aux familles canadiennes-françaises souhaitant maîtriser leur budget d'épicerie. Dans un contexte d'inflation alimentaire persistante au Canada, PanierClair répond à un besoin concret et croissant : aider les ménages à planifier leurs achats, suivre leurs dépenses et optimiser leur panier de façon simple et intuitive.</w:t>
      </w:r>
    </w:p>
    <w:p>
      <w:pPr>
        <w:pStyle w:val="Normal"/>
      </w:pPr>
      <w:r>
        <w:rPr/>
        <w:t xml:space="preserve">Ce plan financier couvre les exercices 2026 à 2028. À l'horizon de l'année 3, PanierClair projette 544 200 $ de revenus annuels et une réduction significative de son déficit opérationnel, ouvrant la voie à la rentabilité dès l'année 4. Un financement d'amorçage de 300 000 $ a déjà été sécurisé, et une levée de fonds Série A de 800 000 $ est planifiée pour la mi-année 2.</w:t>
      </w:r>
    </w:p>
    <w:p>
      <w:pPr>
        <w:pStyle w:val="Heading1"/>
      </w:pPr>
      <w:r>
        <w:rPr/>
        <w:t xml:space="preserve">2. Hypothèses Clés</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Paramètre</w:t>
            </w:r>
          </w:p>
        </w:tc>
        <w:tc>
          <w:tcPr>
            <w:shd w:val="clear" w:color="auto" w:fill="1F5C99"/>
          </w:tcPr>
          <w:p>
            <w:pPr>
              <w:jc w:val="center"/>
            </w:pPr>
            <w:r>
              <w:rPr>
                <w:b/>
                <w:color w:val="FFFFFF"/>
              </w:rPr>
              <w:t>Valeur / Description</w:t>
            </w:r>
          </w:p>
        </w:tc>
      </w:tr>
      <w:tr>
        <w:tc>
          <w:tcPr>
            <w:shd w:val="clear" w:color="auto" w:fill="DEEAF1"/>
          </w:tcPr>
          <w:p>
            <w:r>
              <w:rPr/>
              <w:t xml:space="preserve">Taux de conversion freemium → premium</w:t>
            </w:r>
          </w:p>
        </w:tc>
        <w:tc>
          <w:tcPr>
            <w:shd w:val="clear" w:color="auto" w:fill="DEEAF1"/>
          </w:tcPr>
          <w:p>
            <w:r>
              <w:rPr/>
              <w:t xml:space="preserve">8 % (an 1), 10 % (an 2), 12 % (an 3)</w:t>
            </w:r>
          </w:p>
        </w:tc>
      </w:tr>
      <w:tr>
        <w:tc>
          <w:tcPr>
            <w:shd w:val="clear" w:color="auto" w:fill="FFFFFF"/>
          </w:tcPr>
          <w:p>
            <w:r>
              <w:rPr/>
              <w:t xml:space="preserve">Prix premium mensuel</w:t>
            </w:r>
          </w:p>
        </w:tc>
        <w:tc>
          <w:tcPr>
            <w:shd w:val="clear" w:color="auto" w:fill="FFFFFF"/>
          </w:tcPr>
          <w:p>
            <w:r>
              <w:rPr/>
              <w:t xml:space="preserve">9,99 $ CAD/mois</w:t>
            </w:r>
          </w:p>
        </w:tc>
      </w:tr>
      <w:tr>
        <w:tc>
          <w:tcPr>
            <w:shd w:val="clear" w:color="auto" w:fill="DEEAF1"/>
          </w:tcPr>
          <w:p>
            <w:r>
              <w:rPr/>
              <w:t xml:space="preserve">Prix premium annuel</w:t>
            </w:r>
          </w:p>
        </w:tc>
        <w:tc>
          <w:tcPr>
            <w:shd w:val="clear" w:color="auto" w:fill="DEEAF1"/>
          </w:tcPr>
          <w:p>
            <w:r>
              <w:rPr/>
              <w:t xml:space="preserve">79,99 $ CAD/an</w:t>
            </w:r>
          </w:p>
        </w:tc>
      </w:tr>
      <w:tr>
        <w:tc>
          <w:tcPr>
            <w:shd w:val="clear" w:color="auto" w:fill="FFFFFF"/>
          </w:tcPr>
          <w:p>
            <w:r>
              <w:rPr/>
              <w:t xml:space="preserve">UAM (Utilisateurs Actifs Mensuels)</w:t>
            </w:r>
          </w:p>
        </w:tc>
        <w:tc>
          <w:tcPr>
            <w:shd w:val="clear" w:color="auto" w:fill="FFFFFF"/>
          </w:tcPr>
          <w:p>
            <w:r>
              <w:rPr/>
              <w:t xml:space="preserve">5 000 (an 1) → 18 000 (an 2) → 42 000 (an 3)</w:t>
            </w:r>
          </w:p>
        </w:tc>
      </w:tr>
      <w:tr>
        <w:tc>
          <w:tcPr>
            <w:shd w:val="clear" w:color="auto" w:fill="DEEAF1"/>
          </w:tcPr>
          <w:p>
            <w:r>
              <w:rPr/>
              <w:t xml:space="preserve">Abonnés premium</w:t>
            </w:r>
          </w:p>
        </w:tc>
        <w:tc>
          <w:tcPr>
            <w:shd w:val="clear" w:color="auto" w:fill="DEEAF1"/>
          </w:tcPr>
          <w:p>
            <w:r>
              <w:rPr/>
              <w:t xml:space="preserve">400 (an 1) → 1 800 (an 2) → 5 040 (an 3)</w:t>
            </w:r>
          </w:p>
        </w:tc>
      </w:tr>
      <w:tr>
        <w:tc>
          <w:tcPr>
            <w:shd w:val="clear" w:color="auto" w:fill="FFFFFF"/>
          </w:tcPr>
          <w:p>
            <w:r>
              <w:rPr/>
              <w:t xml:space="preserve">Partenariats B2B</w:t>
            </w:r>
          </w:p>
        </w:tc>
        <w:tc>
          <w:tcPr>
            <w:shd w:val="clear" w:color="auto" w:fill="FFFFFF"/>
          </w:tcPr>
          <w:p>
            <w:r>
              <w:rPr/>
              <w:t xml:space="preserve">2 (an 1) → 5 (an 2) → 12 (an 3)</w:t>
            </w:r>
          </w:p>
        </w:tc>
      </w:tr>
      <w:tr>
        <w:tc>
          <w:tcPr>
            <w:shd w:val="clear" w:color="auto" w:fill="DEEAF1"/>
          </w:tcPr>
          <w:p>
            <w:r>
              <w:rPr/>
              <w:t xml:space="preserve">Revenu B2B par partenariat</w:t>
            </w:r>
          </w:p>
        </w:tc>
        <w:tc>
          <w:tcPr>
            <w:shd w:val="clear" w:color="auto" w:fill="DEEAF1"/>
          </w:tcPr>
          <w:p>
            <w:r>
              <w:rPr/>
              <w:t xml:space="preserve">8 000 $/an</w:t>
            </w:r>
          </w:p>
        </w:tc>
      </w:tr>
      <w:tr>
        <w:tc>
          <w:tcPr>
            <w:shd w:val="clear" w:color="auto" w:fill="FFFFFF"/>
          </w:tcPr>
          <w:p>
            <w:r>
              <w:rPr/>
              <w:t xml:space="preserve">Taux de churn mensuel</w:t>
            </w:r>
          </w:p>
        </w:tc>
        <w:tc>
          <w:tcPr>
            <w:shd w:val="clear" w:color="auto" w:fill="FFFFFF"/>
          </w:tcPr>
          <w:p>
            <w:r>
              <w:rPr/>
              <w:t xml:space="preserve">3,0 % (an 1), 2,5 % (an 2), 2,0 % (an 3)</w:t>
            </w:r>
          </w:p>
        </w:tc>
      </w:tr>
      <w:tr>
        <w:tc>
          <w:tcPr>
            <w:shd w:val="clear" w:color="auto" w:fill="DEEAF1"/>
          </w:tcPr>
          <w:p>
            <w:r>
              <w:rPr/>
              <w:t xml:space="preserve">Coût d'acquisition client (CAC)</w:t>
            </w:r>
          </w:p>
        </w:tc>
        <w:tc>
          <w:tcPr>
            <w:shd w:val="clear" w:color="auto" w:fill="DEEAF1"/>
          </w:tcPr>
          <w:p>
            <w:r>
              <w:rPr/>
              <w:t xml:space="preserve">18 $ (an 1), 15 $ (an 2), 12 $ (an 3)</w:t>
            </w:r>
          </w:p>
        </w:tc>
      </w:tr>
      <w:tr>
        <w:tc>
          <w:tcPr>
            <w:shd w:val="clear" w:color="auto" w:fill="FFFFFF"/>
          </w:tcPr>
          <w:p>
            <w:r>
              <w:rPr/>
              <w:t xml:space="preserve">Valeur vie client (LTV)</w:t>
            </w:r>
          </w:p>
        </w:tc>
        <w:tc>
          <w:tcPr>
            <w:shd w:val="clear" w:color="auto" w:fill="FFFFFF"/>
          </w:tcPr>
          <w:p>
            <w:r>
              <w:rPr/>
              <w:t xml:space="preserve">110 $ (an 1), 150 $ (an 2), 210 $ (an 3)</w:t>
            </w:r>
          </w:p>
        </w:tc>
      </w:tr>
    </w:tbl>
    <w:p>
      <w:pPr>
        <w:pStyle w:val="Heading1"/>
      </w:pPr>
      <w:r>
        <w:rPr/>
        <w:t xml:space="preserve">3. Projections de Revenus (Années 1–3)</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Source de revenus</w:t>
            </w:r>
          </w:p>
        </w:tc>
        <w:tc>
          <w:tcPr>
            <w:shd w:val="clear" w:color="auto" w:fill="1F5C99"/>
          </w:tcPr>
          <w:p>
            <w:pPr>
              <w:jc w:val="center"/>
            </w:pPr>
            <w:r>
              <w:rPr>
                <w:b/>
                <w:color w:val="FFFFFF"/>
              </w:rPr>
              <w:t>Année 1</w:t>
            </w:r>
          </w:p>
        </w:tc>
        <w:tc>
          <w:tcPr>
            <w:shd w:val="clear" w:color="auto" w:fill="1F5C99"/>
          </w:tcPr>
          <w:p>
            <w:pPr>
              <w:jc w:val="center"/>
            </w:pPr>
            <w:r>
              <w:rPr>
                <w:b/>
                <w:color w:val="FFFFFF"/>
              </w:rPr>
              <w:t>Année 2</w:t>
            </w:r>
          </w:p>
        </w:tc>
        <w:tc>
          <w:tcPr>
            <w:shd w:val="clear" w:color="auto" w:fill="1F5C99"/>
          </w:tcPr>
          <w:p>
            <w:pPr>
              <w:jc w:val="center"/>
            </w:pPr>
            <w:r>
              <w:rPr>
                <w:b/>
                <w:color w:val="FFFFFF"/>
              </w:rPr>
              <w:t>Année 3</w:t>
            </w:r>
          </w:p>
        </w:tc>
      </w:tr>
      <w:tr>
        <w:tc>
          <w:tcPr>
            <w:shd w:val="clear" w:color="auto" w:fill="DEEAF1"/>
          </w:tcPr>
          <w:p>
            <w:r>
              <w:rPr/>
              <w:t xml:space="preserve">Abonnements premium</w:t>
            </w:r>
          </w:p>
        </w:tc>
        <w:tc>
          <w:tcPr>
            <w:shd w:val="clear" w:color="auto" w:fill="DEEAF1"/>
          </w:tcPr>
          <w:p>
            <w:r>
              <w:rPr/>
              <w:t xml:space="preserve">32 000 $</w:t>
            </w:r>
          </w:p>
        </w:tc>
        <w:tc>
          <w:tcPr>
            <w:shd w:val="clear" w:color="auto" w:fill="DEEAF1"/>
          </w:tcPr>
          <w:p>
            <w:r>
              <w:rPr/>
              <w:t xml:space="preserve">144 000 $</w:t>
            </w:r>
          </w:p>
        </w:tc>
        <w:tc>
          <w:tcPr>
            <w:shd w:val="clear" w:color="auto" w:fill="DEEAF1"/>
          </w:tcPr>
          <w:p>
            <w:r>
              <w:rPr/>
              <w:t xml:space="preserve">403 200 $</w:t>
            </w:r>
          </w:p>
        </w:tc>
      </w:tr>
      <w:tr>
        <w:tc>
          <w:tcPr>
            <w:shd w:val="clear" w:color="auto" w:fill="FFFFFF"/>
          </w:tcPr>
          <w:p>
            <w:r>
              <w:rPr/>
              <w:t xml:space="preserve">Partenariats B2B</w:t>
            </w:r>
          </w:p>
        </w:tc>
        <w:tc>
          <w:tcPr>
            <w:shd w:val="clear" w:color="auto" w:fill="FFFFFF"/>
          </w:tcPr>
          <w:p>
            <w:r>
              <w:rPr/>
              <w:t xml:space="preserve">16 000 $</w:t>
            </w:r>
          </w:p>
        </w:tc>
        <w:tc>
          <w:tcPr>
            <w:shd w:val="clear" w:color="auto" w:fill="FFFFFF"/>
          </w:tcPr>
          <w:p>
            <w:r>
              <w:rPr/>
              <w:t xml:space="preserve">40 000 $</w:t>
            </w:r>
          </w:p>
        </w:tc>
        <w:tc>
          <w:tcPr>
            <w:shd w:val="clear" w:color="auto" w:fill="FFFFFF"/>
          </w:tcPr>
          <w:p>
            <w:r>
              <w:rPr/>
              <w:t xml:space="preserve">96 000 $</w:t>
            </w:r>
          </w:p>
        </w:tc>
      </w:tr>
      <w:tr>
        <w:tc>
          <w:tcPr>
            <w:shd w:val="clear" w:color="auto" w:fill="DEEAF1"/>
          </w:tcPr>
          <w:p>
            <w:r>
              <w:rPr/>
              <w:t xml:space="preserve">Publicité (tier gratuit)</w:t>
            </w:r>
          </w:p>
        </w:tc>
        <w:tc>
          <w:tcPr>
            <w:shd w:val="clear" w:color="auto" w:fill="DEEAF1"/>
          </w:tcPr>
          <w:p>
            <w:r>
              <w:rPr/>
              <w:t xml:space="preserve">5 000 $</w:t>
            </w:r>
          </w:p>
        </w:tc>
        <w:tc>
          <w:tcPr>
            <w:shd w:val="clear" w:color="auto" w:fill="DEEAF1"/>
          </w:tcPr>
          <w:p>
            <w:r>
              <w:rPr/>
              <w:t xml:space="preserve">18 000 $</w:t>
            </w:r>
          </w:p>
        </w:tc>
        <w:tc>
          <w:tcPr>
            <w:shd w:val="clear" w:color="auto" w:fill="DEEAF1"/>
          </w:tcPr>
          <w:p>
            <w:r>
              <w:rPr/>
              <w:t xml:space="preserve">45 000 $</w:t>
            </w:r>
          </w:p>
        </w:tc>
      </w:tr>
      <w:tr>
        <w:tc>
          <w:tcPr>
            <w:shd w:val="clear" w:color="auto" w:fill="FFFFFF"/>
          </w:tcPr>
          <w:p>
            <w:r>
              <w:rPr>
                <w:b/>
              </w:rPr>
              <w:t xml:space="preserve">TOTAL REVENUS</w:t>
            </w:r>
          </w:p>
        </w:tc>
        <w:tc>
          <w:tcPr>
            <w:shd w:val="clear" w:color="auto" w:fill="FFFFFF"/>
          </w:tcPr>
          <w:p>
            <w:r>
              <w:rPr>
                <w:b/>
              </w:rPr>
              <w:t xml:space="preserve">53 000 $</w:t>
            </w:r>
          </w:p>
        </w:tc>
        <w:tc>
          <w:tcPr>
            <w:shd w:val="clear" w:color="auto" w:fill="FFFFFF"/>
          </w:tcPr>
          <w:p>
            <w:r>
              <w:rPr>
                <w:b/>
              </w:rPr>
              <w:t xml:space="preserve">202 000 $</w:t>
            </w:r>
          </w:p>
        </w:tc>
        <w:tc>
          <w:tcPr>
            <w:shd w:val="clear" w:color="auto" w:fill="FFFFFF"/>
          </w:tcPr>
          <w:p>
            <w:r>
              <w:rPr>
                <w:b/>
              </w:rPr>
              <w:t xml:space="preserve">544 200 $</w:t>
            </w:r>
          </w:p>
        </w:tc>
      </w:tr>
    </w:tbl>
    <w:p>
      <w:pPr>
        <w:pStyle w:val="Heading2"/>
      </w:pPr>
      <w:r>
        <w:rPr/>
        <w:t xml:space="preserve">Graphique 1 — Revenus vs Charges vs Résultat Net :</w:t>
      </w:r>
    </w:p>
    <w:p>
      <w:pPr>
        <w:pStyle w:val="Heading1"/>
      </w:pPr>
      <w:r>
        <w:rPr/>
        <w:t xml:space="preserve">4. Charges d'Exploitation (Années 1–3)</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Poste de dépenses</w:t>
            </w:r>
          </w:p>
        </w:tc>
        <w:tc>
          <w:tcPr>
            <w:shd w:val="clear" w:color="auto" w:fill="1F5C99"/>
          </w:tcPr>
          <w:p>
            <w:pPr>
              <w:jc w:val="center"/>
            </w:pPr>
            <w:r>
              <w:rPr>
                <w:b/>
                <w:color w:val="FFFFFF"/>
              </w:rPr>
              <w:t>Année 1</w:t>
            </w:r>
          </w:p>
        </w:tc>
        <w:tc>
          <w:tcPr>
            <w:shd w:val="clear" w:color="auto" w:fill="1F5C99"/>
          </w:tcPr>
          <w:p>
            <w:pPr>
              <w:jc w:val="center"/>
            </w:pPr>
            <w:r>
              <w:rPr>
                <w:b/>
                <w:color w:val="FFFFFF"/>
              </w:rPr>
              <w:t>Année 2</w:t>
            </w:r>
          </w:p>
        </w:tc>
        <w:tc>
          <w:tcPr>
            <w:shd w:val="clear" w:color="auto" w:fill="1F5C99"/>
          </w:tcPr>
          <w:p>
            <w:pPr>
              <w:jc w:val="center"/>
            </w:pPr>
            <w:r>
              <w:rPr>
                <w:b/>
                <w:color w:val="FFFFFF"/>
              </w:rPr>
              <w:t>Année 3</w:t>
            </w:r>
          </w:p>
        </w:tc>
      </w:tr>
      <w:tr>
        <w:tc>
          <w:tcPr>
            <w:shd w:val="clear" w:color="auto" w:fill="DEEAF1"/>
          </w:tcPr>
          <w:p>
            <w:r>
              <w:rPr/>
              <w:t xml:space="preserve">Salaires et avantages sociaux (équipe 3→5→8)</w:t>
            </w:r>
          </w:p>
        </w:tc>
        <w:tc>
          <w:tcPr>
            <w:shd w:val="clear" w:color="auto" w:fill="DEEAF1"/>
          </w:tcPr>
          <w:p>
            <w:r>
              <w:rPr/>
              <w:t xml:space="preserve">180 000 $</w:t>
            </w:r>
          </w:p>
        </w:tc>
        <w:tc>
          <w:tcPr>
            <w:shd w:val="clear" w:color="auto" w:fill="DEEAF1"/>
          </w:tcPr>
          <w:p>
            <w:r>
              <w:rPr/>
              <w:t xml:space="preserve">280 000 $</w:t>
            </w:r>
          </w:p>
        </w:tc>
        <w:tc>
          <w:tcPr>
            <w:shd w:val="clear" w:color="auto" w:fill="DEEAF1"/>
          </w:tcPr>
          <w:p>
            <w:r>
              <w:rPr/>
              <w:t xml:space="preserve">420 000 $</w:t>
            </w:r>
          </w:p>
        </w:tc>
      </w:tr>
      <w:tr>
        <w:tc>
          <w:tcPr>
            <w:shd w:val="clear" w:color="auto" w:fill="FFFFFF"/>
          </w:tcPr>
          <w:p>
            <w:r>
              <w:rPr/>
              <w:t xml:space="preserve">Infrastructure cloud (AWS / GCP)</w:t>
            </w:r>
          </w:p>
        </w:tc>
        <w:tc>
          <w:tcPr>
            <w:shd w:val="clear" w:color="auto" w:fill="FFFFFF"/>
          </w:tcPr>
          <w:p>
            <w:r>
              <w:rPr/>
              <w:t xml:space="preserve">12 000 $</w:t>
            </w:r>
          </w:p>
        </w:tc>
        <w:tc>
          <w:tcPr>
            <w:shd w:val="clear" w:color="auto" w:fill="FFFFFF"/>
          </w:tcPr>
          <w:p>
            <w:r>
              <w:rPr/>
              <w:t xml:space="preserve">24 000 $</w:t>
            </w:r>
          </w:p>
        </w:tc>
        <w:tc>
          <w:tcPr>
            <w:shd w:val="clear" w:color="auto" w:fill="FFFFFF"/>
          </w:tcPr>
          <w:p>
            <w:r>
              <w:rPr/>
              <w:t xml:space="preserve">48 000 $</w:t>
            </w:r>
          </w:p>
        </w:tc>
      </w:tr>
      <w:tr>
        <w:tc>
          <w:tcPr>
            <w:shd w:val="clear" w:color="auto" w:fill="DEEAF1"/>
          </w:tcPr>
          <w:p>
            <w:r>
              <w:rPr/>
              <w:t xml:space="preserve">Marketing et acquisition client</w:t>
            </w:r>
          </w:p>
        </w:tc>
        <w:tc>
          <w:tcPr>
            <w:shd w:val="clear" w:color="auto" w:fill="DEEAF1"/>
          </w:tcPr>
          <w:p>
            <w:r>
              <w:rPr/>
              <w:t xml:space="preserve">30 000 $</w:t>
            </w:r>
          </w:p>
        </w:tc>
        <w:tc>
          <w:tcPr>
            <w:shd w:val="clear" w:color="auto" w:fill="DEEAF1"/>
          </w:tcPr>
          <w:p>
            <w:r>
              <w:rPr/>
              <w:t xml:space="preserve">55 000 $</w:t>
            </w:r>
          </w:p>
        </w:tc>
        <w:tc>
          <w:tcPr>
            <w:shd w:val="clear" w:color="auto" w:fill="DEEAF1"/>
          </w:tcPr>
          <w:p>
            <w:r>
              <w:rPr/>
              <w:t xml:space="preserve">80 000 $</w:t>
            </w:r>
          </w:p>
        </w:tc>
      </w:tr>
      <w:tr>
        <w:tc>
          <w:tcPr>
            <w:shd w:val="clear" w:color="auto" w:fill="FFFFFF"/>
          </w:tcPr>
          <w:p>
            <w:r>
              <w:rPr/>
              <w:t xml:space="preserve">Frais légaux et comptables</w:t>
            </w:r>
          </w:p>
        </w:tc>
        <w:tc>
          <w:tcPr>
            <w:shd w:val="clear" w:color="auto" w:fill="FFFFFF"/>
          </w:tcPr>
          <w:p>
            <w:r>
              <w:rPr/>
              <w:t xml:space="preserve">15 000 $</w:t>
            </w:r>
          </w:p>
        </w:tc>
        <w:tc>
          <w:tcPr>
            <w:shd w:val="clear" w:color="auto" w:fill="FFFFFF"/>
          </w:tcPr>
          <w:p>
            <w:r>
              <w:rPr/>
              <w:t xml:space="preserve">18 000 $</w:t>
            </w:r>
          </w:p>
        </w:tc>
        <w:tc>
          <w:tcPr>
            <w:shd w:val="clear" w:color="auto" w:fill="FFFFFF"/>
          </w:tcPr>
          <w:p>
            <w:r>
              <w:rPr/>
              <w:t xml:space="preserve">20 000 $</w:t>
            </w:r>
          </w:p>
        </w:tc>
      </w:tr>
      <w:tr>
        <w:tc>
          <w:tcPr>
            <w:shd w:val="clear" w:color="auto" w:fill="DEEAF1"/>
          </w:tcPr>
          <w:p>
            <w:r>
              <w:rPr/>
              <w:t xml:space="preserve">Outils et licences SaaS</w:t>
            </w:r>
          </w:p>
        </w:tc>
        <w:tc>
          <w:tcPr>
            <w:shd w:val="clear" w:color="auto" w:fill="DEEAF1"/>
          </w:tcPr>
          <w:p>
            <w:r>
              <w:rPr/>
              <w:t xml:space="preserve">8 000 $</w:t>
            </w:r>
          </w:p>
        </w:tc>
        <w:tc>
          <w:tcPr>
            <w:shd w:val="clear" w:color="auto" w:fill="DEEAF1"/>
          </w:tcPr>
          <w:p>
            <w:r>
              <w:rPr/>
              <w:t xml:space="preserve">12 000 $</w:t>
            </w:r>
          </w:p>
        </w:tc>
        <w:tc>
          <w:tcPr>
            <w:shd w:val="clear" w:color="auto" w:fill="DEEAF1"/>
          </w:tcPr>
          <w:p>
            <w:r>
              <w:rPr/>
              <w:t xml:space="preserve">16 000 $</w:t>
            </w:r>
          </w:p>
        </w:tc>
      </w:tr>
      <w:tr>
        <w:tc>
          <w:tcPr>
            <w:shd w:val="clear" w:color="auto" w:fill="FFFFFF"/>
          </w:tcPr>
          <w:p>
            <w:r>
              <w:rPr/>
              <w:t xml:space="preserve">Divers et imprévus</w:t>
            </w:r>
          </w:p>
        </w:tc>
        <w:tc>
          <w:tcPr>
            <w:shd w:val="clear" w:color="auto" w:fill="FFFFFF"/>
          </w:tcPr>
          <w:p>
            <w:r>
              <w:rPr/>
              <w:t xml:space="preserve">10 000 $</w:t>
            </w:r>
          </w:p>
        </w:tc>
        <w:tc>
          <w:tcPr>
            <w:shd w:val="clear" w:color="auto" w:fill="FFFFFF"/>
          </w:tcPr>
          <w:p>
            <w:r>
              <w:rPr/>
              <w:t xml:space="preserve">15 000 $</w:t>
            </w:r>
          </w:p>
        </w:tc>
        <w:tc>
          <w:tcPr>
            <w:shd w:val="clear" w:color="auto" w:fill="FFFFFF"/>
          </w:tcPr>
          <w:p>
            <w:r>
              <w:rPr/>
              <w:t xml:space="preserve">20 000 $</w:t>
            </w:r>
          </w:p>
        </w:tc>
      </w:tr>
      <w:tr>
        <w:tc>
          <w:tcPr>
            <w:shd w:val="clear" w:color="auto" w:fill="DEEAF1"/>
          </w:tcPr>
          <w:p>
            <w:r>
              <w:rPr>
                <w:b/>
              </w:rPr>
              <w:t xml:space="preserve">TOTAL CHARGES</w:t>
            </w:r>
          </w:p>
        </w:tc>
        <w:tc>
          <w:tcPr>
            <w:shd w:val="clear" w:color="auto" w:fill="DEEAF1"/>
          </w:tcPr>
          <w:p>
            <w:r>
              <w:rPr>
                <w:b/>
              </w:rPr>
              <w:t xml:space="preserve">255 000 $</w:t>
            </w:r>
          </w:p>
        </w:tc>
        <w:tc>
          <w:tcPr>
            <w:shd w:val="clear" w:color="auto" w:fill="DEEAF1"/>
          </w:tcPr>
          <w:p>
            <w:r>
              <w:rPr>
                <w:b/>
              </w:rPr>
              <w:t xml:space="preserve">404 000 $</w:t>
            </w:r>
          </w:p>
        </w:tc>
        <w:tc>
          <w:tcPr>
            <w:shd w:val="clear" w:color="auto" w:fill="DEEAF1"/>
          </w:tcPr>
          <w:p>
            <w:r>
              <w:rPr>
                <w:b/>
              </w:rPr>
              <w:t xml:space="preserve">604 000 $</w:t>
            </w:r>
          </w:p>
        </w:tc>
      </w:tr>
    </w:tbl>
    <w:p>
      <w:pPr>
        <w:pStyle w:val="Heading2"/>
      </w:pPr>
      <w:r>
        <w:rPr/>
        <w:t xml:space="preserve">Graphique 2 — Ventilation des revenus par source :</w:t>
      </w:r>
    </w:p>
    <w:p>
      <w:pPr>
        <w:pStyle w:val="Heading1"/>
      </w:pPr>
      <w:r>
        <w:rPr/>
        <w:t xml:space="preserve">5. Résultat Net (Années 1–3)</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Indicateur</w:t>
            </w:r>
          </w:p>
        </w:tc>
        <w:tc>
          <w:tcPr>
            <w:shd w:val="clear" w:color="auto" w:fill="1F5C99"/>
          </w:tcPr>
          <w:p>
            <w:pPr>
              <w:jc w:val="center"/>
            </w:pPr>
            <w:r>
              <w:rPr>
                <w:b/>
                <w:color w:val="FFFFFF"/>
              </w:rPr>
              <w:t>Année 1</w:t>
            </w:r>
          </w:p>
        </w:tc>
        <w:tc>
          <w:tcPr>
            <w:shd w:val="clear" w:color="auto" w:fill="1F5C99"/>
          </w:tcPr>
          <w:p>
            <w:pPr>
              <w:jc w:val="center"/>
            </w:pPr>
            <w:r>
              <w:rPr>
                <w:b/>
                <w:color w:val="FFFFFF"/>
              </w:rPr>
              <w:t>Année 2</w:t>
            </w:r>
          </w:p>
        </w:tc>
        <w:tc>
          <w:tcPr>
            <w:shd w:val="clear" w:color="auto" w:fill="1F5C99"/>
          </w:tcPr>
          <w:p>
            <w:pPr>
              <w:jc w:val="center"/>
            </w:pPr>
            <w:r>
              <w:rPr>
                <w:b/>
                <w:color w:val="FFFFFF"/>
              </w:rPr>
              <w:t>Année 3</w:t>
            </w:r>
          </w:p>
        </w:tc>
      </w:tr>
      <w:tr>
        <w:tc>
          <w:tcPr>
            <w:shd w:val="clear" w:color="auto" w:fill="DEEAF1"/>
          </w:tcPr>
          <w:p>
            <w:r>
              <w:rPr/>
              <w:t xml:space="preserve">Total revenus</w:t>
            </w:r>
          </w:p>
        </w:tc>
        <w:tc>
          <w:tcPr>
            <w:shd w:val="clear" w:color="auto" w:fill="DEEAF1"/>
          </w:tcPr>
          <w:p>
            <w:r>
              <w:rPr/>
              <w:t xml:space="preserve">53 000 $</w:t>
            </w:r>
          </w:p>
        </w:tc>
        <w:tc>
          <w:tcPr>
            <w:shd w:val="clear" w:color="auto" w:fill="DEEAF1"/>
          </w:tcPr>
          <w:p>
            <w:r>
              <w:rPr/>
              <w:t xml:space="preserve">202 000 $</w:t>
            </w:r>
          </w:p>
        </w:tc>
        <w:tc>
          <w:tcPr>
            <w:shd w:val="clear" w:color="auto" w:fill="DEEAF1"/>
          </w:tcPr>
          <w:p>
            <w:r>
              <w:rPr/>
              <w:t xml:space="preserve">544 200 $</w:t>
            </w:r>
          </w:p>
        </w:tc>
      </w:tr>
      <w:tr>
        <w:tc>
          <w:tcPr>
            <w:shd w:val="clear" w:color="auto" w:fill="FFFFFF"/>
          </w:tcPr>
          <w:p>
            <w:r>
              <w:rPr/>
              <w:t xml:space="preserve">Total charges</w:t>
            </w:r>
          </w:p>
        </w:tc>
        <w:tc>
          <w:tcPr>
            <w:shd w:val="clear" w:color="auto" w:fill="FFFFFF"/>
          </w:tcPr>
          <w:p>
            <w:r>
              <w:rPr/>
              <w:t xml:space="preserve">255 000 $</w:t>
            </w:r>
          </w:p>
        </w:tc>
        <w:tc>
          <w:tcPr>
            <w:shd w:val="clear" w:color="auto" w:fill="FFFFFF"/>
          </w:tcPr>
          <w:p>
            <w:r>
              <w:rPr/>
              <w:t xml:space="preserve">404 000 $</w:t>
            </w:r>
          </w:p>
        </w:tc>
        <w:tc>
          <w:tcPr>
            <w:shd w:val="clear" w:color="auto" w:fill="FFFFFF"/>
          </w:tcPr>
          <w:p>
            <w:r>
              <w:rPr/>
              <w:t xml:space="preserve">604 000 $</w:t>
            </w:r>
          </w:p>
        </w:tc>
      </w:tr>
      <w:tr>
        <w:tc>
          <w:tcPr>
            <w:shd w:val="clear" w:color="auto" w:fill="DEEAF1"/>
          </w:tcPr>
          <w:p>
            <w:r>
              <w:rPr>
                <w:b/>
              </w:rPr>
              <w:t xml:space="preserve">Résultat net</w:t>
            </w:r>
          </w:p>
        </w:tc>
        <w:tc>
          <w:tcPr>
            <w:shd w:val="clear" w:color="auto" w:fill="DEEAF1"/>
          </w:tcPr>
          <w:p>
            <w:r>
              <w:rPr>
                <w:b/>
              </w:rPr>
              <w:t xml:space="preserve">-202 000 $</w:t>
            </w:r>
          </w:p>
        </w:tc>
        <w:tc>
          <w:tcPr>
            <w:shd w:val="clear" w:color="auto" w:fill="DEEAF1"/>
          </w:tcPr>
          <w:p>
            <w:r>
              <w:rPr>
                <w:b/>
              </w:rPr>
              <w:t xml:space="preserve">-202 000 $</w:t>
            </w:r>
          </w:p>
        </w:tc>
        <w:tc>
          <w:tcPr>
            <w:shd w:val="clear" w:color="auto" w:fill="DEEAF1"/>
          </w:tcPr>
          <w:p>
            <w:r>
              <w:rPr>
                <w:b/>
              </w:rPr>
              <w:t xml:space="preserve">-59 800 $</w:t>
            </w:r>
          </w:p>
        </w:tc>
      </w:tr>
      <w:tr>
        <w:tc>
          <w:tcPr>
            <w:shd w:val="clear" w:color="auto" w:fill="FFFFFF"/>
          </w:tcPr>
          <w:p>
            <w:r>
              <w:rPr/>
              <w:t xml:space="preserve">Résultat cumulatif</w:t>
            </w:r>
          </w:p>
        </w:tc>
        <w:tc>
          <w:tcPr>
            <w:shd w:val="clear" w:color="auto" w:fill="FFFFFF"/>
          </w:tcPr>
          <w:p>
            <w:r>
              <w:rPr/>
              <w:t xml:space="preserve">-202 000 $</w:t>
            </w:r>
          </w:p>
        </w:tc>
        <w:tc>
          <w:tcPr>
            <w:shd w:val="clear" w:color="auto" w:fill="FFFFFF"/>
          </w:tcPr>
          <w:p>
            <w:r>
              <w:rPr/>
              <w:t xml:space="preserve">-404 000 $</w:t>
            </w:r>
          </w:p>
        </w:tc>
        <w:tc>
          <w:tcPr>
            <w:shd w:val="clear" w:color="auto" w:fill="FFFFFF"/>
          </w:tcPr>
          <w:p>
            <w:r>
              <w:rPr/>
              <w:t xml:space="preserve">-463 800 $</w:t>
            </w:r>
          </w:p>
        </w:tc>
      </w:tr>
    </w:tbl>
    <w:p>
      <w:pPr>
        <w:pStyle w:val="Normal"/>
      </w:pPr>
      <w:r>
        <w:rPr/>
        <w:t xml:space="preserve">Note : Le déficit des trois premières années est financé par capital de risque (amorçage + Série A). La rentabilité opérationnelle est projetée au cours de l'année 4.</w:t>
      </w:r>
    </w:p>
    <w:p>
      <w:pPr>
        <w:pStyle w:val="Heading1"/>
      </w:pPr>
      <w:r>
        <w:rPr/>
        <w:t xml:space="preserve">6. Flux de Trésorerie — Année 1 (Mensuel)</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Mois</w:t>
            </w:r>
          </w:p>
        </w:tc>
        <w:tc>
          <w:tcPr>
            <w:shd w:val="clear" w:color="auto" w:fill="1F5C99"/>
          </w:tcPr>
          <w:p>
            <w:pPr>
              <w:jc w:val="center"/>
            </w:pPr>
            <w:r>
              <w:rPr>
                <w:b/>
                <w:color w:val="FFFFFF"/>
              </w:rPr>
              <w:t>Revenus</w:t>
            </w:r>
          </w:p>
        </w:tc>
        <w:tc>
          <w:tcPr>
            <w:shd w:val="clear" w:color="auto" w:fill="1F5C99"/>
          </w:tcPr>
          <w:p>
            <w:pPr>
              <w:jc w:val="center"/>
            </w:pPr>
            <w:r>
              <w:rPr>
                <w:b/>
                <w:color w:val="FFFFFF"/>
              </w:rPr>
              <w:t>Dépenses</w:t>
            </w:r>
          </w:p>
        </w:tc>
        <w:tc>
          <w:tcPr>
            <w:shd w:val="clear" w:color="auto" w:fill="1F5C99"/>
          </w:tcPr>
          <w:p>
            <w:pPr>
              <w:jc w:val="center"/>
            </w:pPr>
            <w:r>
              <w:rPr>
                <w:b/>
                <w:color w:val="FFFFFF"/>
              </w:rPr>
              <w:t>Flux Net</w:t>
            </w:r>
          </w:p>
        </w:tc>
        <w:tc>
          <w:tcPr>
            <w:shd w:val="clear" w:color="auto" w:fill="1F5C99"/>
          </w:tcPr>
          <w:p>
            <w:pPr>
              <w:jc w:val="center"/>
            </w:pPr>
            <w:r>
              <w:rPr>
                <w:b/>
                <w:color w:val="FFFFFF"/>
              </w:rPr>
              <w:t>Solde Cumulatif</w:t>
            </w:r>
          </w:p>
        </w:tc>
      </w:tr>
      <w:tr>
        <w:tc>
          <w:tcPr>
            <w:shd w:val="clear" w:color="auto" w:fill="DEEAF1"/>
          </w:tcPr>
          <w:p>
            <w:r>
              <w:rPr/>
              <w:t xml:space="preserve">Janvier</w:t>
            </w:r>
          </w:p>
        </w:tc>
        <w:tc>
          <w:tcPr>
            <w:shd w:val="clear" w:color="auto" w:fill="DEEAF1"/>
          </w:tcPr>
          <w:p>
            <w:r>
              <w:rPr/>
              <w:t xml:space="preserve">1 200 $</w:t>
            </w:r>
          </w:p>
        </w:tc>
        <w:tc>
          <w:tcPr>
            <w:shd w:val="clear" w:color="auto" w:fill="DEEAF1"/>
          </w:tcPr>
          <w:p>
            <w:r>
              <w:rPr/>
              <w:t xml:space="preserve">21 250 $</w:t>
            </w:r>
          </w:p>
        </w:tc>
        <w:tc>
          <w:tcPr>
            <w:shd w:val="clear" w:color="auto" w:fill="DEEAF1"/>
          </w:tcPr>
          <w:p>
            <w:r>
              <w:rPr/>
              <w:t xml:space="preserve">-20 050 $</w:t>
            </w:r>
          </w:p>
        </w:tc>
        <w:tc>
          <w:tcPr>
            <w:shd w:val="clear" w:color="auto" w:fill="DEEAF1"/>
          </w:tcPr>
          <w:p>
            <w:r>
              <w:rPr/>
              <w:t xml:space="preserve">279 950 $</w:t>
            </w:r>
          </w:p>
        </w:tc>
      </w:tr>
      <w:tr>
        <w:tc>
          <w:tcPr>
            <w:shd w:val="clear" w:color="auto" w:fill="FFFFFF"/>
          </w:tcPr>
          <w:p>
            <w:r>
              <w:rPr/>
              <w:t xml:space="preserve">Février</w:t>
            </w:r>
          </w:p>
        </w:tc>
        <w:tc>
          <w:tcPr>
            <w:shd w:val="clear" w:color="auto" w:fill="FFFFFF"/>
          </w:tcPr>
          <w:p>
            <w:r>
              <w:rPr/>
              <w:t xml:space="preserve">1 500 $</w:t>
            </w:r>
          </w:p>
        </w:tc>
        <w:tc>
          <w:tcPr>
            <w:shd w:val="clear" w:color="auto" w:fill="FFFFFF"/>
          </w:tcPr>
          <w:p>
            <w:r>
              <w:rPr/>
              <w:t xml:space="preserve">21 250 $</w:t>
            </w:r>
          </w:p>
        </w:tc>
        <w:tc>
          <w:tcPr>
            <w:shd w:val="clear" w:color="auto" w:fill="FFFFFF"/>
          </w:tcPr>
          <w:p>
            <w:r>
              <w:rPr/>
              <w:t xml:space="preserve">-19 750 $</w:t>
            </w:r>
          </w:p>
        </w:tc>
        <w:tc>
          <w:tcPr>
            <w:shd w:val="clear" w:color="auto" w:fill="FFFFFF"/>
          </w:tcPr>
          <w:p>
            <w:r>
              <w:rPr/>
              <w:t xml:space="preserve">260 200 $</w:t>
            </w:r>
          </w:p>
        </w:tc>
      </w:tr>
      <w:tr>
        <w:tc>
          <w:tcPr>
            <w:shd w:val="clear" w:color="auto" w:fill="DEEAF1"/>
          </w:tcPr>
          <w:p>
            <w:r>
              <w:rPr/>
              <w:t xml:space="preserve">Mars</w:t>
            </w:r>
          </w:p>
        </w:tc>
        <w:tc>
          <w:tcPr>
            <w:shd w:val="clear" w:color="auto" w:fill="DEEAF1"/>
          </w:tcPr>
          <w:p>
            <w:r>
              <w:rPr/>
              <w:t xml:space="preserve">2 000 $</w:t>
            </w:r>
          </w:p>
        </w:tc>
        <w:tc>
          <w:tcPr>
            <w:shd w:val="clear" w:color="auto" w:fill="DEEAF1"/>
          </w:tcPr>
          <w:p>
            <w:r>
              <w:rPr/>
              <w:t xml:space="preserve">21 250 $</w:t>
            </w:r>
          </w:p>
        </w:tc>
        <w:tc>
          <w:tcPr>
            <w:shd w:val="clear" w:color="auto" w:fill="DEEAF1"/>
          </w:tcPr>
          <w:p>
            <w:r>
              <w:rPr/>
              <w:t xml:space="preserve">-19 250 $</w:t>
            </w:r>
          </w:p>
        </w:tc>
        <w:tc>
          <w:tcPr>
            <w:shd w:val="clear" w:color="auto" w:fill="DEEAF1"/>
          </w:tcPr>
          <w:p>
            <w:r>
              <w:rPr/>
              <w:t xml:space="preserve">240 950 $</w:t>
            </w:r>
          </w:p>
        </w:tc>
      </w:tr>
      <w:tr>
        <w:tc>
          <w:tcPr>
            <w:shd w:val="clear" w:color="auto" w:fill="FFFFFF"/>
          </w:tcPr>
          <w:p>
            <w:r>
              <w:rPr/>
              <w:t xml:space="preserve">Avril</w:t>
            </w:r>
          </w:p>
        </w:tc>
        <w:tc>
          <w:tcPr>
            <w:shd w:val="clear" w:color="auto" w:fill="FFFFFF"/>
          </w:tcPr>
          <w:p>
            <w:r>
              <w:rPr/>
              <w:t xml:space="preserve">2 500 $</w:t>
            </w:r>
          </w:p>
        </w:tc>
        <w:tc>
          <w:tcPr>
            <w:shd w:val="clear" w:color="auto" w:fill="FFFFFF"/>
          </w:tcPr>
          <w:p>
            <w:r>
              <w:rPr/>
              <w:t xml:space="preserve">21 250 $</w:t>
            </w:r>
          </w:p>
        </w:tc>
        <w:tc>
          <w:tcPr>
            <w:shd w:val="clear" w:color="auto" w:fill="FFFFFF"/>
          </w:tcPr>
          <w:p>
            <w:r>
              <w:rPr/>
              <w:t xml:space="preserve">-18 750 $</w:t>
            </w:r>
          </w:p>
        </w:tc>
        <w:tc>
          <w:tcPr>
            <w:shd w:val="clear" w:color="auto" w:fill="FFFFFF"/>
          </w:tcPr>
          <w:p>
            <w:r>
              <w:rPr/>
              <w:t xml:space="preserve">222 200 $</w:t>
            </w:r>
          </w:p>
        </w:tc>
      </w:tr>
      <w:tr>
        <w:tc>
          <w:tcPr>
            <w:shd w:val="clear" w:color="auto" w:fill="DEEAF1"/>
          </w:tcPr>
          <w:p>
            <w:r>
              <w:rPr/>
              <w:t xml:space="preserve">Mai</w:t>
            </w:r>
          </w:p>
        </w:tc>
        <w:tc>
          <w:tcPr>
            <w:shd w:val="clear" w:color="auto" w:fill="DEEAF1"/>
          </w:tcPr>
          <w:p>
            <w:r>
              <w:rPr/>
              <w:t xml:space="preserve">3 000 $</w:t>
            </w:r>
          </w:p>
        </w:tc>
        <w:tc>
          <w:tcPr>
            <w:shd w:val="clear" w:color="auto" w:fill="DEEAF1"/>
          </w:tcPr>
          <w:p>
            <w:r>
              <w:rPr/>
              <w:t xml:space="preserve">21 250 $</w:t>
            </w:r>
          </w:p>
        </w:tc>
        <w:tc>
          <w:tcPr>
            <w:shd w:val="clear" w:color="auto" w:fill="DEEAF1"/>
          </w:tcPr>
          <w:p>
            <w:r>
              <w:rPr/>
              <w:t xml:space="preserve">-18 250 $</w:t>
            </w:r>
          </w:p>
        </w:tc>
        <w:tc>
          <w:tcPr>
            <w:shd w:val="clear" w:color="auto" w:fill="DEEAF1"/>
          </w:tcPr>
          <w:p>
            <w:r>
              <w:rPr/>
              <w:t xml:space="preserve">203 950 $</w:t>
            </w:r>
          </w:p>
        </w:tc>
      </w:tr>
      <w:tr>
        <w:tc>
          <w:tcPr>
            <w:shd w:val="clear" w:color="auto" w:fill="FFFFFF"/>
          </w:tcPr>
          <w:p>
            <w:r>
              <w:rPr/>
              <w:t xml:space="preserve">Juin</w:t>
            </w:r>
          </w:p>
        </w:tc>
        <w:tc>
          <w:tcPr>
            <w:shd w:val="clear" w:color="auto" w:fill="FFFFFF"/>
          </w:tcPr>
          <w:p>
            <w:r>
              <w:rPr/>
              <w:t xml:space="preserve">3 500 $</w:t>
            </w:r>
          </w:p>
        </w:tc>
        <w:tc>
          <w:tcPr>
            <w:shd w:val="clear" w:color="auto" w:fill="FFFFFF"/>
          </w:tcPr>
          <w:p>
            <w:r>
              <w:rPr/>
              <w:t xml:space="preserve">21 250 $</w:t>
            </w:r>
          </w:p>
        </w:tc>
        <w:tc>
          <w:tcPr>
            <w:shd w:val="clear" w:color="auto" w:fill="FFFFFF"/>
          </w:tcPr>
          <w:p>
            <w:r>
              <w:rPr/>
              <w:t xml:space="preserve">-17 750 $</w:t>
            </w:r>
          </w:p>
        </w:tc>
        <w:tc>
          <w:tcPr>
            <w:shd w:val="clear" w:color="auto" w:fill="FFFFFF"/>
          </w:tcPr>
          <w:p>
            <w:r>
              <w:rPr/>
              <w:t xml:space="preserve">186 200 $</w:t>
            </w:r>
          </w:p>
        </w:tc>
      </w:tr>
      <w:tr>
        <w:tc>
          <w:tcPr>
            <w:shd w:val="clear" w:color="auto" w:fill="DEEAF1"/>
          </w:tcPr>
          <w:p>
            <w:r>
              <w:rPr/>
              <w:t xml:space="preserve">Juillet</w:t>
            </w:r>
          </w:p>
        </w:tc>
        <w:tc>
          <w:tcPr>
            <w:shd w:val="clear" w:color="auto" w:fill="DEEAF1"/>
          </w:tcPr>
          <w:p>
            <w:r>
              <w:rPr/>
              <w:t xml:space="preserve">4 000 $</w:t>
            </w:r>
          </w:p>
        </w:tc>
        <w:tc>
          <w:tcPr>
            <w:shd w:val="clear" w:color="auto" w:fill="DEEAF1"/>
          </w:tcPr>
          <w:p>
            <w:r>
              <w:rPr/>
              <w:t xml:space="preserve">21 250 $</w:t>
            </w:r>
          </w:p>
        </w:tc>
        <w:tc>
          <w:tcPr>
            <w:shd w:val="clear" w:color="auto" w:fill="DEEAF1"/>
          </w:tcPr>
          <w:p>
            <w:r>
              <w:rPr/>
              <w:t xml:space="preserve">-17 250 $</w:t>
            </w:r>
          </w:p>
        </w:tc>
        <w:tc>
          <w:tcPr>
            <w:shd w:val="clear" w:color="auto" w:fill="DEEAF1"/>
          </w:tcPr>
          <w:p>
            <w:r>
              <w:rPr/>
              <w:t xml:space="preserve">168 950 $</w:t>
            </w:r>
          </w:p>
        </w:tc>
      </w:tr>
      <w:tr>
        <w:tc>
          <w:tcPr>
            <w:shd w:val="clear" w:color="auto" w:fill="FFFFFF"/>
          </w:tcPr>
          <w:p>
            <w:r>
              <w:rPr/>
              <w:t xml:space="preserve">Août</w:t>
            </w:r>
          </w:p>
        </w:tc>
        <w:tc>
          <w:tcPr>
            <w:shd w:val="clear" w:color="auto" w:fill="FFFFFF"/>
          </w:tcPr>
          <w:p>
            <w:r>
              <w:rPr/>
              <w:t xml:space="preserve">4 500 $</w:t>
            </w:r>
          </w:p>
        </w:tc>
        <w:tc>
          <w:tcPr>
            <w:shd w:val="clear" w:color="auto" w:fill="FFFFFF"/>
          </w:tcPr>
          <w:p>
            <w:r>
              <w:rPr/>
              <w:t xml:space="preserve">21 250 $</w:t>
            </w:r>
          </w:p>
        </w:tc>
        <w:tc>
          <w:tcPr>
            <w:shd w:val="clear" w:color="auto" w:fill="FFFFFF"/>
          </w:tcPr>
          <w:p>
            <w:r>
              <w:rPr/>
              <w:t xml:space="preserve">-16 750 $</w:t>
            </w:r>
          </w:p>
        </w:tc>
        <w:tc>
          <w:tcPr>
            <w:shd w:val="clear" w:color="auto" w:fill="FFFFFF"/>
          </w:tcPr>
          <w:p>
            <w:r>
              <w:rPr/>
              <w:t xml:space="preserve">152 200 $</w:t>
            </w:r>
          </w:p>
        </w:tc>
      </w:tr>
      <w:tr>
        <w:tc>
          <w:tcPr>
            <w:shd w:val="clear" w:color="auto" w:fill="DEEAF1"/>
          </w:tcPr>
          <w:p>
            <w:r>
              <w:rPr/>
              <w:t xml:space="preserve">Septembre</w:t>
            </w:r>
          </w:p>
        </w:tc>
        <w:tc>
          <w:tcPr>
            <w:shd w:val="clear" w:color="auto" w:fill="DEEAF1"/>
          </w:tcPr>
          <w:p>
            <w:r>
              <w:rPr/>
              <w:t xml:space="preserve">5 000 $</w:t>
            </w:r>
          </w:p>
        </w:tc>
        <w:tc>
          <w:tcPr>
            <w:shd w:val="clear" w:color="auto" w:fill="DEEAF1"/>
          </w:tcPr>
          <w:p>
            <w:r>
              <w:rPr/>
              <w:t xml:space="preserve">21 250 $</w:t>
            </w:r>
          </w:p>
        </w:tc>
        <w:tc>
          <w:tcPr>
            <w:shd w:val="clear" w:color="auto" w:fill="DEEAF1"/>
          </w:tcPr>
          <w:p>
            <w:r>
              <w:rPr/>
              <w:t xml:space="preserve">-16 250 $</w:t>
            </w:r>
          </w:p>
        </w:tc>
        <w:tc>
          <w:tcPr>
            <w:shd w:val="clear" w:color="auto" w:fill="DEEAF1"/>
          </w:tcPr>
          <w:p>
            <w:r>
              <w:rPr/>
              <w:t xml:space="preserve">135 950 $</w:t>
            </w:r>
          </w:p>
        </w:tc>
      </w:tr>
      <w:tr>
        <w:tc>
          <w:tcPr>
            <w:shd w:val="clear" w:color="auto" w:fill="FFFFFF"/>
          </w:tcPr>
          <w:p>
            <w:r>
              <w:rPr/>
              <w:t xml:space="preserve">Octobre</w:t>
            </w:r>
          </w:p>
        </w:tc>
        <w:tc>
          <w:tcPr>
            <w:shd w:val="clear" w:color="auto" w:fill="FFFFFF"/>
          </w:tcPr>
          <w:p>
            <w:r>
              <w:rPr/>
              <w:t xml:space="preserve">5 300 $</w:t>
            </w:r>
          </w:p>
        </w:tc>
        <w:tc>
          <w:tcPr>
            <w:shd w:val="clear" w:color="auto" w:fill="FFFFFF"/>
          </w:tcPr>
          <w:p>
            <w:r>
              <w:rPr/>
              <w:t xml:space="preserve">21 250 $</w:t>
            </w:r>
          </w:p>
        </w:tc>
        <w:tc>
          <w:tcPr>
            <w:shd w:val="clear" w:color="auto" w:fill="FFFFFF"/>
          </w:tcPr>
          <w:p>
            <w:r>
              <w:rPr/>
              <w:t xml:space="preserve">-15 950 $</w:t>
            </w:r>
          </w:p>
        </w:tc>
        <w:tc>
          <w:tcPr>
            <w:shd w:val="clear" w:color="auto" w:fill="FFFFFF"/>
          </w:tcPr>
          <w:p>
            <w:r>
              <w:rPr/>
              <w:t xml:space="preserve">120 000 $</w:t>
            </w:r>
          </w:p>
        </w:tc>
      </w:tr>
      <w:tr>
        <w:tc>
          <w:tcPr>
            <w:shd w:val="clear" w:color="auto" w:fill="DEEAF1"/>
          </w:tcPr>
          <w:p>
            <w:r>
              <w:rPr/>
              <w:t xml:space="preserve">Novembre</w:t>
            </w:r>
          </w:p>
        </w:tc>
        <w:tc>
          <w:tcPr>
            <w:shd w:val="clear" w:color="auto" w:fill="DEEAF1"/>
          </w:tcPr>
          <w:p>
            <w:r>
              <w:rPr/>
              <w:t xml:space="preserve">5 700 $</w:t>
            </w:r>
          </w:p>
        </w:tc>
        <w:tc>
          <w:tcPr>
            <w:shd w:val="clear" w:color="auto" w:fill="DEEAF1"/>
          </w:tcPr>
          <w:p>
            <w:r>
              <w:rPr/>
              <w:t xml:space="preserve">21 250 $</w:t>
            </w:r>
          </w:p>
        </w:tc>
        <w:tc>
          <w:tcPr>
            <w:shd w:val="clear" w:color="auto" w:fill="DEEAF1"/>
          </w:tcPr>
          <w:p>
            <w:r>
              <w:rPr/>
              <w:t xml:space="preserve">-15 550 $</w:t>
            </w:r>
          </w:p>
        </w:tc>
        <w:tc>
          <w:tcPr>
            <w:shd w:val="clear" w:color="auto" w:fill="DEEAF1"/>
          </w:tcPr>
          <w:p>
            <w:r>
              <w:rPr/>
              <w:t xml:space="preserve">104 450 $</w:t>
            </w:r>
          </w:p>
        </w:tc>
      </w:tr>
      <w:tr>
        <w:tc>
          <w:tcPr>
            <w:shd w:val="clear" w:color="auto" w:fill="FFFFFF"/>
          </w:tcPr>
          <w:p>
            <w:r>
              <w:rPr/>
              <w:t xml:space="preserve">Décembre</w:t>
            </w:r>
          </w:p>
        </w:tc>
        <w:tc>
          <w:tcPr>
            <w:shd w:val="clear" w:color="auto" w:fill="FFFFFF"/>
          </w:tcPr>
          <w:p>
            <w:r>
              <w:rPr/>
              <w:t xml:space="preserve">6 000 $</w:t>
            </w:r>
          </w:p>
        </w:tc>
        <w:tc>
          <w:tcPr>
            <w:shd w:val="clear" w:color="auto" w:fill="FFFFFF"/>
          </w:tcPr>
          <w:p>
            <w:r>
              <w:rPr/>
              <w:t xml:space="preserve">21 250 $</w:t>
            </w:r>
          </w:p>
        </w:tc>
        <w:tc>
          <w:tcPr>
            <w:shd w:val="clear" w:color="auto" w:fill="FFFFFF"/>
          </w:tcPr>
          <w:p>
            <w:r>
              <w:rPr/>
              <w:t xml:space="preserve">-15 250 $</w:t>
            </w:r>
          </w:p>
        </w:tc>
        <w:tc>
          <w:tcPr>
            <w:shd w:val="clear" w:color="auto" w:fill="FFFFFF"/>
          </w:tcPr>
          <w:p>
            <w:r>
              <w:rPr/>
              <w:t xml:space="preserve">89 200 $</w:t>
            </w:r>
          </w:p>
        </w:tc>
      </w:tr>
      <w:tr>
        <w:tc>
          <w:tcPr>
            <w:shd w:val="clear" w:color="auto" w:fill="DEEAF1"/>
          </w:tcPr>
          <w:p>
            <w:r>
              <w:rPr>
                <w:b/>
              </w:rPr>
              <w:t xml:space="preserve">TOTAL</w:t>
            </w:r>
          </w:p>
        </w:tc>
        <w:tc>
          <w:tcPr>
            <w:shd w:val="clear" w:color="auto" w:fill="DEEAF1"/>
          </w:tcPr>
          <w:p>
            <w:r>
              <w:rPr>
                <w:b/>
              </w:rPr>
              <w:t xml:space="preserve">44 200 $</w:t>
            </w:r>
          </w:p>
        </w:tc>
        <w:tc>
          <w:tcPr>
            <w:shd w:val="clear" w:color="auto" w:fill="DEEAF1"/>
          </w:tcPr>
          <w:p>
            <w:r>
              <w:rPr>
                <w:b/>
              </w:rPr>
              <w:t xml:space="preserve">255 000 $</w:t>
            </w:r>
          </w:p>
        </w:tc>
        <w:tc>
          <w:tcPr>
            <w:shd w:val="clear" w:color="auto" w:fill="DEEAF1"/>
          </w:tcPr>
          <w:p>
            <w:r>
              <w:rPr>
                <w:b/>
              </w:rPr>
              <w:t xml:space="preserve">-210 800 $</w:t>
            </w:r>
          </w:p>
        </w:tc>
        <w:tc>
          <w:tcPr>
            <w:shd w:val="clear" w:color="auto" w:fill="DEEAF1"/>
          </w:tcPr>
          <w:p>
            <w:r>
              <w:rPr>
                <w:b/>
              </w:rPr>
              <w:t xml:space="preserve">—</w:t>
            </w:r>
          </w:p>
        </w:tc>
      </w:tr>
    </w:tbl>
    <w:p>
      <w:pPr>
        <w:pStyle w:val="Heading2"/>
      </w:pPr>
      <w:r>
        <w:rPr/>
        <w:t xml:space="preserve">Graphique 3 — Solde de trésorerie cumulatif (Année 1) :</w:t>
      </w:r>
    </w:p>
    <w:p>
      <w:pPr>
        <w:pStyle w:val="Heading1"/>
      </w:pPr>
      <w:r>
        <w:rPr/>
        <w:t xml:space="preserve">7. Besoins en Financement</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Tranche</w:t>
            </w:r>
          </w:p>
        </w:tc>
        <w:tc>
          <w:tcPr>
            <w:shd w:val="clear" w:color="auto" w:fill="1F5C99"/>
          </w:tcPr>
          <w:p>
            <w:pPr>
              <w:jc w:val="center"/>
            </w:pPr>
            <w:r>
              <w:rPr>
                <w:b/>
                <w:color w:val="FFFFFF"/>
              </w:rPr>
              <w:t>Montant</w:t>
            </w:r>
          </w:p>
        </w:tc>
        <w:tc>
          <w:tcPr>
            <w:shd w:val="clear" w:color="auto" w:fill="1F5C99"/>
          </w:tcPr>
          <w:p>
            <w:pPr>
              <w:jc w:val="center"/>
            </w:pPr>
            <w:r>
              <w:rPr>
                <w:b/>
                <w:color w:val="FFFFFF"/>
              </w:rPr>
              <w:t>Statut</w:t>
            </w:r>
          </w:p>
        </w:tc>
        <w:tc>
          <w:tcPr>
            <w:shd w:val="clear" w:color="auto" w:fill="1F5C99"/>
          </w:tcPr>
          <w:p>
            <w:pPr>
              <w:jc w:val="center"/>
            </w:pPr>
            <w:r>
              <w:rPr>
                <w:b/>
                <w:color w:val="FFFFFF"/>
              </w:rPr>
              <w:t>Utilisation principale</w:t>
            </w:r>
          </w:p>
        </w:tc>
      </w:tr>
      <w:tr>
        <w:tc>
          <w:tcPr>
            <w:shd w:val="clear" w:color="auto" w:fill="DEEAF1"/>
          </w:tcPr>
          <w:p>
            <w:r>
              <w:rPr/>
              <w:t xml:space="preserve">Amorçage (seed)</w:t>
            </w:r>
          </w:p>
        </w:tc>
        <w:tc>
          <w:tcPr>
            <w:shd w:val="clear" w:color="auto" w:fill="DEEAF1"/>
          </w:tcPr>
          <w:p>
            <w:r>
              <w:rPr/>
              <w:t xml:space="preserve">300 000 $</w:t>
            </w:r>
          </w:p>
        </w:tc>
        <w:tc>
          <w:tcPr>
            <w:shd w:val="clear" w:color="auto" w:fill="DEEAF1"/>
          </w:tcPr>
          <w:p>
            <w:r>
              <w:rPr/>
              <w:t xml:space="preserve">Sécurisé</w:t>
            </w:r>
          </w:p>
        </w:tc>
        <w:tc>
          <w:tcPr>
            <w:shd w:val="clear" w:color="auto" w:fill="DEEAF1"/>
          </w:tcPr>
          <w:p>
            <w:r>
              <w:rPr/>
              <w:t xml:space="preserve">MVP, équipe initiale, lancement</w:t>
            </w:r>
          </w:p>
        </w:tc>
      </w:tr>
      <w:tr>
        <w:tc>
          <w:tcPr>
            <w:shd w:val="clear" w:color="auto" w:fill="FFFFFF"/>
          </w:tcPr>
          <w:p>
            <w:r>
              <w:rPr/>
              <w:t xml:space="preserve">Série A</w:t>
            </w:r>
          </w:p>
        </w:tc>
        <w:tc>
          <w:tcPr>
            <w:shd w:val="clear" w:color="auto" w:fill="FFFFFF"/>
          </w:tcPr>
          <w:p>
            <w:r>
              <w:rPr/>
              <w:t xml:space="preserve">800 000 $</w:t>
            </w:r>
          </w:p>
        </w:tc>
        <w:tc>
          <w:tcPr>
            <w:shd w:val="clear" w:color="auto" w:fill="FFFFFF"/>
          </w:tcPr>
          <w:p>
            <w:r>
              <w:rPr/>
              <w:t xml:space="preserve">Planifiée (mi-an 2)</w:t>
            </w:r>
          </w:p>
        </w:tc>
        <w:tc>
          <w:tcPr>
            <w:shd w:val="clear" w:color="auto" w:fill="FFFFFF"/>
          </w:tcPr>
          <w:p>
            <w:r>
              <w:rPr/>
              <w:t xml:space="preserve">Croissance équipe, marketing, API B2B</w:t>
            </w:r>
          </w:p>
        </w:tc>
      </w:tr>
    </w:tbl>
    <w:p>
      <w:pPr>
        <w:pStyle w:val="Heading2"/>
      </w:pPr>
      <w:r>
        <w:rPr/>
        <w:t xml:space="preserve">Utilisation des fonds — Amorçage (300 000 $)</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Poste</w:t>
            </w:r>
          </w:p>
        </w:tc>
        <w:tc>
          <w:tcPr>
            <w:shd w:val="clear" w:color="auto" w:fill="1F5C99"/>
          </w:tcPr>
          <w:p>
            <w:pPr>
              <w:jc w:val="center"/>
            </w:pPr>
            <w:r>
              <w:rPr>
                <w:b/>
                <w:color w:val="FFFFFF"/>
              </w:rPr>
              <w:t>Montant</w:t>
            </w:r>
          </w:p>
        </w:tc>
        <w:tc>
          <w:tcPr>
            <w:shd w:val="clear" w:color="auto" w:fill="1F5C99"/>
          </w:tcPr>
          <w:p>
            <w:pPr>
              <w:jc w:val="center"/>
            </w:pPr>
            <w:r>
              <w:rPr>
                <w:b/>
                <w:color w:val="FFFFFF"/>
              </w:rPr>
              <w:t>Pourcentage</w:t>
            </w:r>
          </w:p>
        </w:tc>
      </w:tr>
      <w:tr>
        <w:tc>
          <w:tcPr>
            <w:shd w:val="clear" w:color="auto" w:fill="DEEAF1"/>
          </w:tcPr>
          <w:p>
            <w:r>
              <w:rPr/>
              <w:t xml:space="preserve">Développement produit (MVP + V1)</w:t>
            </w:r>
          </w:p>
        </w:tc>
        <w:tc>
          <w:tcPr>
            <w:shd w:val="clear" w:color="auto" w:fill="DEEAF1"/>
          </w:tcPr>
          <w:p>
            <w:r>
              <w:rPr/>
              <w:t xml:space="preserve">120 000 $</w:t>
            </w:r>
          </w:p>
        </w:tc>
        <w:tc>
          <w:tcPr>
            <w:shd w:val="clear" w:color="auto" w:fill="DEEAF1"/>
          </w:tcPr>
          <w:p>
            <w:r>
              <w:rPr/>
              <w:t xml:space="preserve">40 %</w:t>
            </w:r>
          </w:p>
        </w:tc>
      </w:tr>
      <w:tr>
        <w:tc>
          <w:tcPr>
            <w:shd w:val="clear" w:color="auto" w:fill="FFFFFF"/>
          </w:tcPr>
          <w:p>
            <w:r>
              <w:rPr/>
              <w:t xml:space="preserve">Salaires fondateurs (18 mois)</w:t>
            </w:r>
          </w:p>
        </w:tc>
        <w:tc>
          <w:tcPr>
            <w:shd w:val="clear" w:color="auto" w:fill="FFFFFF"/>
          </w:tcPr>
          <w:p>
            <w:r>
              <w:rPr/>
              <w:t xml:space="preserve">90 000 $</w:t>
            </w:r>
          </w:p>
        </w:tc>
        <w:tc>
          <w:tcPr>
            <w:shd w:val="clear" w:color="auto" w:fill="FFFFFF"/>
          </w:tcPr>
          <w:p>
            <w:r>
              <w:rPr/>
              <w:t xml:space="preserve">30 %</w:t>
            </w:r>
          </w:p>
        </w:tc>
      </w:tr>
      <w:tr>
        <w:tc>
          <w:tcPr>
            <w:shd w:val="clear" w:color="auto" w:fill="DEEAF1"/>
          </w:tcPr>
          <w:p>
            <w:r>
              <w:rPr/>
              <w:t xml:space="preserve">Marketing lancement</w:t>
            </w:r>
          </w:p>
        </w:tc>
        <w:tc>
          <w:tcPr>
            <w:shd w:val="clear" w:color="auto" w:fill="DEEAF1"/>
          </w:tcPr>
          <w:p>
            <w:r>
              <w:rPr/>
              <w:t xml:space="preserve">45 000 $</w:t>
            </w:r>
          </w:p>
        </w:tc>
        <w:tc>
          <w:tcPr>
            <w:shd w:val="clear" w:color="auto" w:fill="DEEAF1"/>
          </w:tcPr>
          <w:p>
            <w:r>
              <w:rPr/>
              <w:t xml:space="preserve">15 %</w:t>
            </w:r>
          </w:p>
        </w:tc>
      </w:tr>
      <w:tr>
        <w:tc>
          <w:tcPr>
            <w:shd w:val="clear" w:color="auto" w:fill="FFFFFF"/>
          </w:tcPr>
          <w:p>
            <w:r>
              <w:rPr/>
              <w:t xml:space="preserve">Infrastructure et opérations</w:t>
            </w:r>
          </w:p>
        </w:tc>
        <w:tc>
          <w:tcPr>
            <w:shd w:val="clear" w:color="auto" w:fill="FFFFFF"/>
          </w:tcPr>
          <w:p>
            <w:r>
              <w:rPr/>
              <w:t xml:space="preserve">25 000 $</w:t>
            </w:r>
          </w:p>
        </w:tc>
        <w:tc>
          <w:tcPr>
            <w:shd w:val="clear" w:color="auto" w:fill="FFFFFF"/>
          </w:tcPr>
          <w:p>
            <w:r>
              <w:rPr/>
              <w:t xml:space="preserve">8 %</w:t>
            </w:r>
          </w:p>
        </w:tc>
      </w:tr>
      <w:tr>
        <w:tc>
          <w:tcPr>
            <w:shd w:val="clear" w:color="auto" w:fill="DEEAF1"/>
          </w:tcPr>
          <w:p>
            <w:r>
              <w:rPr/>
              <w:t xml:space="preserve">Frais légaux et constitution</w:t>
            </w:r>
          </w:p>
        </w:tc>
        <w:tc>
          <w:tcPr>
            <w:shd w:val="clear" w:color="auto" w:fill="DEEAF1"/>
          </w:tcPr>
          <w:p>
            <w:r>
              <w:rPr/>
              <w:t xml:space="preserve">20 000 $</w:t>
            </w:r>
          </w:p>
        </w:tc>
        <w:tc>
          <w:tcPr>
            <w:shd w:val="clear" w:color="auto" w:fill="DEEAF1"/>
          </w:tcPr>
          <w:p>
            <w:r>
              <w:rPr/>
              <w:t xml:space="preserve">7 %</w:t>
            </w:r>
          </w:p>
        </w:tc>
      </w:tr>
      <w:tr>
        <w:tc>
          <w:tcPr>
            <w:shd w:val="clear" w:color="auto" w:fill="FFFFFF"/>
          </w:tcPr>
          <w:p>
            <w:r>
              <w:rPr>
                <w:b/>
              </w:rPr>
              <w:t xml:space="preserve">TOTAL</w:t>
            </w:r>
          </w:p>
        </w:tc>
        <w:tc>
          <w:tcPr>
            <w:shd w:val="clear" w:color="auto" w:fill="FFFFFF"/>
          </w:tcPr>
          <w:p>
            <w:r>
              <w:rPr>
                <w:b/>
              </w:rPr>
              <w:t xml:space="preserve">300 000 $</w:t>
            </w:r>
          </w:p>
        </w:tc>
        <w:tc>
          <w:tcPr>
            <w:shd w:val="clear" w:color="auto" w:fill="FFFFFF"/>
          </w:tcPr>
          <w:p>
            <w:r>
              <w:rPr>
                <w:b/>
              </w:rPr>
              <w:t xml:space="preserve">100 %</w:t>
            </w:r>
          </w:p>
        </w:tc>
      </w:tr>
    </w:tbl>
    <w:p>
      <w:pPr>
        <w:pStyle w:val="Heading1"/>
      </w:pPr>
      <w:r>
        <w:rPr/>
        <w:t xml:space="preserve">8. Indicateurs de Performance Clés (KPI)</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Indicateur</w:t>
            </w:r>
          </w:p>
        </w:tc>
        <w:tc>
          <w:tcPr>
            <w:shd w:val="clear" w:color="auto" w:fill="1F5C99"/>
          </w:tcPr>
          <w:p>
            <w:pPr>
              <w:jc w:val="center"/>
            </w:pPr>
            <w:r>
              <w:rPr>
                <w:b/>
                <w:color w:val="FFFFFF"/>
              </w:rPr>
              <w:t>Année 1</w:t>
            </w:r>
          </w:p>
        </w:tc>
        <w:tc>
          <w:tcPr>
            <w:shd w:val="clear" w:color="auto" w:fill="1F5C99"/>
          </w:tcPr>
          <w:p>
            <w:pPr>
              <w:jc w:val="center"/>
            </w:pPr>
            <w:r>
              <w:rPr>
                <w:b/>
                <w:color w:val="FFFFFF"/>
              </w:rPr>
              <w:t>Année 2</w:t>
            </w:r>
          </w:p>
        </w:tc>
        <w:tc>
          <w:tcPr>
            <w:shd w:val="clear" w:color="auto" w:fill="1F5C99"/>
          </w:tcPr>
          <w:p>
            <w:pPr>
              <w:jc w:val="center"/>
            </w:pPr>
            <w:r>
              <w:rPr>
                <w:b/>
                <w:color w:val="FFFFFF"/>
              </w:rPr>
              <w:t>Année 3</w:t>
            </w:r>
          </w:p>
        </w:tc>
      </w:tr>
      <w:tr>
        <w:tc>
          <w:tcPr>
            <w:shd w:val="clear" w:color="auto" w:fill="DEEAF1"/>
          </w:tcPr>
          <w:p>
            <w:r>
              <w:rPr/>
              <w:t xml:space="preserve">UAM (Utilisateurs Actifs Mensuels)</w:t>
            </w:r>
          </w:p>
        </w:tc>
        <w:tc>
          <w:tcPr>
            <w:shd w:val="clear" w:color="auto" w:fill="DEEAF1"/>
          </w:tcPr>
          <w:p>
            <w:r>
              <w:rPr/>
              <w:t xml:space="preserve">5 000</w:t>
            </w:r>
          </w:p>
        </w:tc>
        <w:tc>
          <w:tcPr>
            <w:shd w:val="clear" w:color="auto" w:fill="DEEAF1"/>
          </w:tcPr>
          <w:p>
            <w:r>
              <w:rPr/>
              <w:t xml:space="preserve">18 000</w:t>
            </w:r>
          </w:p>
        </w:tc>
        <w:tc>
          <w:tcPr>
            <w:shd w:val="clear" w:color="auto" w:fill="DEEAF1"/>
          </w:tcPr>
          <w:p>
            <w:r>
              <w:rPr/>
              <w:t xml:space="preserve">42 000</w:t>
            </w:r>
          </w:p>
        </w:tc>
      </w:tr>
      <w:tr>
        <w:tc>
          <w:tcPr>
            <w:shd w:val="clear" w:color="auto" w:fill="FFFFFF"/>
          </w:tcPr>
          <w:p>
            <w:r>
              <w:rPr/>
              <w:t xml:space="preserve">Abonnés Premium</w:t>
            </w:r>
          </w:p>
        </w:tc>
        <w:tc>
          <w:tcPr>
            <w:shd w:val="clear" w:color="auto" w:fill="FFFFFF"/>
          </w:tcPr>
          <w:p>
            <w:r>
              <w:rPr/>
              <w:t xml:space="preserve">400</w:t>
            </w:r>
          </w:p>
        </w:tc>
        <w:tc>
          <w:tcPr>
            <w:shd w:val="clear" w:color="auto" w:fill="FFFFFF"/>
          </w:tcPr>
          <w:p>
            <w:r>
              <w:rPr/>
              <w:t xml:space="preserve">1 800</w:t>
            </w:r>
          </w:p>
        </w:tc>
        <w:tc>
          <w:tcPr>
            <w:shd w:val="clear" w:color="auto" w:fill="FFFFFF"/>
          </w:tcPr>
          <w:p>
            <w:r>
              <w:rPr/>
              <w:t xml:space="preserve">5 040</w:t>
            </w:r>
          </w:p>
        </w:tc>
      </w:tr>
      <w:tr>
        <w:tc>
          <w:tcPr>
            <w:shd w:val="clear" w:color="auto" w:fill="DEEAF1"/>
          </w:tcPr>
          <w:p>
            <w:r>
              <w:rPr/>
              <w:t xml:space="preserve">ARPU mensuel (premium)</w:t>
            </w:r>
          </w:p>
        </w:tc>
        <w:tc>
          <w:tcPr>
            <w:shd w:val="clear" w:color="auto" w:fill="DEEAF1"/>
          </w:tcPr>
          <w:p>
            <w:r>
              <w:rPr/>
              <w:t xml:space="preserve">8,33 $</w:t>
            </w:r>
          </w:p>
        </w:tc>
        <w:tc>
          <w:tcPr>
            <w:shd w:val="clear" w:color="auto" w:fill="DEEAF1"/>
          </w:tcPr>
          <w:p>
            <w:r>
              <w:rPr/>
              <w:t xml:space="preserve">8,33 $</w:t>
            </w:r>
          </w:p>
        </w:tc>
        <w:tc>
          <w:tcPr>
            <w:shd w:val="clear" w:color="auto" w:fill="DEEAF1"/>
          </w:tcPr>
          <w:p>
            <w:r>
              <w:rPr/>
              <w:t xml:space="preserve">8,33 $</w:t>
            </w:r>
          </w:p>
        </w:tc>
      </w:tr>
      <w:tr>
        <w:tc>
          <w:tcPr>
            <w:shd w:val="clear" w:color="auto" w:fill="FFFFFF"/>
          </w:tcPr>
          <w:p>
            <w:r>
              <w:rPr/>
              <w:t xml:space="preserve">Coût d'Acquisition Client (CAC)</w:t>
            </w:r>
          </w:p>
        </w:tc>
        <w:tc>
          <w:tcPr>
            <w:shd w:val="clear" w:color="auto" w:fill="FFFFFF"/>
          </w:tcPr>
          <w:p>
            <w:r>
              <w:rPr/>
              <w:t xml:space="preserve">18,00 $</w:t>
            </w:r>
          </w:p>
        </w:tc>
        <w:tc>
          <w:tcPr>
            <w:shd w:val="clear" w:color="auto" w:fill="FFFFFF"/>
          </w:tcPr>
          <w:p>
            <w:r>
              <w:rPr/>
              <w:t xml:space="preserve">15,00 $</w:t>
            </w:r>
          </w:p>
        </w:tc>
        <w:tc>
          <w:tcPr>
            <w:shd w:val="clear" w:color="auto" w:fill="FFFFFF"/>
          </w:tcPr>
          <w:p>
            <w:r>
              <w:rPr/>
              <w:t xml:space="preserve">12,00 $</w:t>
            </w:r>
          </w:p>
        </w:tc>
      </w:tr>
      <w:tr>
        <w:tc>
          <w:tcPr>
            <w:shd w:val="clear" w:color="auto" w:fill="DEEAF1"/>
          </w:tcPr>
          <w:p>
            <w:r>
              <w:rPr/>
              <w:t xml:space="preserve">Valeur Vie Client (LTV)</w:t>
            </w:r>
          </w:p>
        </w:tc>
        <w:tc>
          <w:tcPr>
            <w:shd w:val="clear" w:color="auto" w:fill="DEEAF1"/>
          </w:tcPr>
          <w:p>
            <w:r>
              <w:rPr/>
              <w:t xml:space="preserve">110 $</w:t>
            </w:r>
          </w:p>
        </w:tc>
        <w:tc>
          <w:tcPr>
            <w:shd w:val="clear" w:color="auto" w:fill="DEEAF1"/>
          </w:tcPr>
          <w:p>
            <w:r>
              <w:rPr/>
              <w:t xml:space="preserve">150 $</w:t>
            </w:r>
          </w:p>
        </w:tc>
        <w:tc>
          <w:tcPr>
            <w:shd w:val="clear" w:color="auto" w:fill="DEEAF1"/>
          </w:tcPr>
          <w:p>
            <w:r>
              <w:rPr/>
              <w:t xml:space="preserve">210 $</w:t>
            </w:r>
          </w:p>
        </w:tc>
      </w:tr>
      <w:tr>
        <w:tc>
          <w:tcPr>
            <w:shd w:val="clear" w:color="auto" w:fill="FFFFFF"/>
          </w:tcPr>
          <w:p>
            <w:r>
              <w:rPr/>
              <w:t xml:space="preserve">Ratio LTV / CAC</w:t>
            </w:r>
          </w:p>
        </w:tc>
        <w:tc>
          <w:tcPr>
            <w:shd w:val="clear" w:color="auto" w:fill="FFFFFF"/>
          </w:tcPr>
          <w:p>
            <w:r>
              <w:rPr/>
              <w:t xml:space="preserve">6,1</w:t>
            </w:r>
          </w:p>
        </w:tc>
        <w:tc>
          <w:tcPr>
            <w:shd w:val="clear" w:color="auto" w:fill="FFFFFF"/>
          </w:tcPr>
          <w:p>
            <w:r>
              <w:rPr/>
              <w:t xml:space="preserve">10,0</w:t>
            </w:r>
          </w:p>
        </w:tc>
        <w:tc>
          <w:tcPr>
            <w:shd w:val="clear" w:color="auto" w:fill="FFFFFF"/>
          </w:tcPr>
          <w:p>
            <w:r>
              <w:rPr/>
              <w:t xml:space="preserve">17,5</w:t>
            </w:r>
          </w:p>
        </w:tc>
      </w:tr>
      <w:tr>
        <w:tc>
          <w:tcPr>
            <w:shd w:val="clear" w:color="auto" w:fill="DEEAF1"/>
          </w:tcPr>
          <w:p>
            <w:r>
              <w:rPr/>
              <w:t xml:space="preserve">Taux de churn mensuel</w:t>
            </w:r>
          </w:p>
        </w:tc>
        <w:tc>
          <w:tcPr>
            <w:shd w:val="clear" w:color="auto" w:fill="DEEAF1"/>
          </w:tcPr>
          <w:p>
            <w:r>
              <w:rPr/>
              <w:t xml:space="preserve">3,0 %</w:t>
            </w:r>
          </w:p>
        </w:tc>
        <w:tc>
          <w:tcPr>
            <w:shd w:val="clear" w:color="auto" w:fill="DEEAF1"/>
          </w:tcPr>
          <w:p>
            <w:r>
              <w:rPr/>
              <w:t xml:space="preserve">2,5 %</w:t>
            </w:r>
          </w:p>
        </w:tc>
        <w:tc>
          <w:tcPr>
            <w:shd w:val="clear" w:color="auto" w:fill="DEEAF1"/>
          </w:tcPr>
          <w:p>
            <w:r>
              <w:rPr/>
              <w:t xml:space="preserve">2,0 %</w:t>
            </w:r>
          </w:p>
        </w:tc>
      </w:tr>
      <w:tr>
        <w:tc>
          <w:tcPr>
            <w:shd w:val="clear" w:color="auto" w:fill="FFFFFF"/>
          </w:tcPr>
          <w:p>
            <w:r>
              <w:rPr/>
              <w:t xml:space="preserve">Marge brute</w:t>
            </w:r>
          </w:p>
        </w:tc>
        <w:tc>
          <w:tcPr>
            <w:shd w:val="clear" w:color="auto" w:fill="FFFFFF"/>
          </w:tcPr>
          <w:p>
            <w:r>
              <w:rPr/>
              <w:t xml:space="preserve">62 %</w:t>
            </w:r>
          </w:p>
        </w:tc>
        <w:tc>
          <w:tcPr>
            <w:shd w:val="clear" w:color="auto" w:fill="FFFFFF"/>
          </w:tcPr>
          <w:p>
            <w:r>
              <w:rPr/>
              <w:t xml:space="preserve">71 %</w:t>
            </w:r>
          </w:p>
        </w:tc>
        <w:tc>
          <w:tcPr>
            <w:shd w:val="clear" w:color="auto" w:fill="FFFFFF"/>
          </w:tcPr>
          <w:p>
            <w:r>
              <w:rPr/>
              <w:t xml:space="preserve">78 %</w:t>
            </w:r>
          </w:p>
        </w:tc>
      </w:tr>
    </w:tbl>
    <w:p>
      <w:pPr>
        <w:pStyle w:val="Heading2"/>
      </w:pPr>
      <w:r>
        <w:rPr/>
        <w:t xml:space="preserve">Graphique 4 — Croissance UAM et Abonnés Premium :</w:t>
      </w:r>
    </w:p>
    <w:p>
      <w:pPr>
        <w:pStyle w:val="Heading1"/>
      </w:pPr>
      <w:r>
        <w:rPr/>
        <w:t xml:space="preserve">9. Analyse de Sensibilité — Année 3</w:t>
      </w:r>
    </w:p>
    <w:tbl>
      <w:tblPr>
        <w:tblStyle w:val="TableGrid"/>
        <w:tblW w:w="9360" w:type="dxa"/>
        <w:tblLook w:val="04A0" w:firstRow="1" w:lastRow="0" w:firstColumn="1" w:lastColumn="0" w:noHBand="0" w:noVBand="1"/>
      </w:tblPr>
      <w:tr>
        <w:trPr>
          <w:tblHeader/>
        </w:trPr>
        <w:tc>
          <w:tcPr>
            <w:shd w:val="clear" w:color="auto" w:fill="1F5C99"/>
          </w:tcPr>
          <w:p>
            <w:pPr>
              <w:jc w:val="center"/>
            </w:pPr>
            <w:r>
              <w:rPr>
                <w:b/>
                <w:color w:val="FFFFFF"/>
              </w:rPr>
              <w:t>Indicateur</w:t>
            </w:r>
          </w:p>
        </w:tc>
        <w:tc>
          <w:tcPr>
            <w:shd w:val="clear" w:color="auto" w:fill="1F5C99"/>
          </w:tcPr>
          <w:p>
            <w:pPr>
              <w:jc w:val="center"/>
            </w:pPr>
            <w:r>
              <w:rPr>
                <w:b/>
                <w:color w:val="FFFFFF"/>
              </w:rPr>
              <w:t>Scénario Conservateur</w:t>
            </w:r>
          </w:p>
        </w:tc>
        <w:tc>
          <w:tcPr>
            <w:shd w:val="clear" w:color="auto" w:fill="1F5C99"/>
          </w:tcPr>
          <w:p>
            <w:pPr>
              <w:jc w:val="center"/>
            </w:pPr>
            <w:r>
              <w:rPr>
                <w:b/>
                <w:color w:val="FFFFFF"/>
              </w:rPr>
              <w:t>Scénario de Base</w:t>
            </w:r>
          </w:p>
        </w:tc>
        <w:tc>
          <w:tcPr>
            <w:shd w:val="clear" w:color="auto" w:fill="1F5C99"/>
          </w:tcPr>
          <w:p>
            <w:pPr>
              <w:jc w:val="center"/>
            </w:pPr>
            <w:r>
              <w:rPr>
                <w:b/>
                <w:color w:val="FFFFFF"/>
              </w:rPr>
              <w:t>Scénario Optimiste</w:t>
            </w:r>
          </w:p>
        </w:tc>
      </w:tr>
      <w:tr>
        <w:tc>
          <w:tcPr>
            <w:shd w:val="clear" w:color="auto" w:fill="DEEAF1"/>
          </w:tcPr>
          <w:p>
            <w:r>
              <w:rPr/>
              <w:t xml:space="preserve">Taux de conversion</w:t>
            </w:r>
          </w:p>
        </w:tc>
        <w:tc>
          <w:tcPr>
            <w:shd w:val="clear" w:color="auto" w:fill="DEEAF1"/>
          </w:tcPr>
          <w:p>
            <w:r>
              <w:rPr/>
              <w:t xml:space="preserve">8 %</w:t>
            </w:r>
          </w:p>
        </w:tc>
        <w:tc>
          <w:tcPr>
            <w:shd w:val="clear" w:color="auto" w:fill="DEEAF1"/>
          </w:tcPr>
          <w:p>
            <w:r>
              <w:rPr/>
              <w:t xml:space="preserve">12 %</w:t>
            </w:r>
          </w:p>
        </w:tc>
        <w:tc>
          <w:tcPr>
            <w:shd w:val="clear" w:color="auto" w:fill="DEEAF1"/>
          </w:tcPr>
          <w:p>
            <w:r>
              <w:rPr/>
              <w:t xml:space="preserve">16 %</w:t>
            </w:r>
          </w:p>
        </w:tc>
      </w:tr>
      <w:tr>
        <w:tc>
          <w:tcPr>
            <w:shd w:val="clear" w:color="auto" w:fill="FFFFFF"/>
          </w:tcPr>
          <w:p>
            <w:r>
              <w:rPr/>
              <w:t xml:space="preserve">UAM</w:t>
            </w:r>
          </w:p>
        </w:tc>
        <w:tc>
          <w:tcPr>
            <w:shd w:val="clear" w:color="auto" w:fill="FFFFFF"/>
          </w:tcPr>
          <w:p>
            <w:r>
              <w:rPr/>
              <w:t xml:space="preserve">30 000</w:t>
            </w:r>
          </w:p>
        </w:tc>
        <w:tc>
          <w:tcPr>
            <w:shd w:val="clear" w:color="auto" w:fill="FFFFFF"/>
          </w:tcPr>
          <w:p>
            <w:r>
              <w:rPr/>
              <w:t xml:space="preserve">42 000</w:t>
            </w:r>
          </w:p>
        </w:tc>
        <w:tc>
          <w:tcPr>
            <w:shd w:val="clear" w:color="auto" w:fill="FFFFFF"/>
          </w:tcPr>
          <w:p>
            <w:r>
              <w:rPr/>
              <w:t xml:space="preserve">60 000</w:t>
            </w:r>
          </w:p>
        </w:tc>
      </w:tr>
      <w:tr>
        <w:tc>
          <w:tcPr>
            <w:shd w:val="clear" w:color="auto" w:fill="DEEAF1"/>
          </w:tcPr>
          <w:p>
            <w:r>
              <w:rPr/>
              <w:t xml:space="preserve">Abonnés premium</w:t>
            </w:r>
          </w:p>
        </w:tc>
        <w:tc>
          <w:tcPr>
            <w:shd w:val="clear" w:color="auto" w:fill="DEEAF1"/>
          </w:tcPr>
          <w:p>
            <w:r>
              <w:rPr/>
              <w:t xml:space="preserve">2 400</w:t>
            </w:r>
          </w:p>
        </w:tc>
        <w:tc>
          <w:tcPr>
            <w:shd w:val="clear" w:color="auto" w:fill="DEEAF1"/>
          </w:tcPr>
          <w:p>
            <w:r>
              <w:rPr/>
              <w:t xml:space="preserve">5 040</w:t>
            </w:r>
          </w:p>
        </w:tc>
        <w:tc>
          <w:tcPr>
            <w:shd w:val="clear" w:color="auto" w:fill="DEEAF1"/>
          </w:tcPr>
          <w:p>
            <w:r>
              <w:rPr/>
              <w:t xml:space="preserve">9 600</w:t>
            </w:r>
          </w:p>
        </w:tc>
      </w:tr>
      <w:tr>
        <w:tc>
          <w:tcPr>
            <w:shd w:val="clear" w:color="auto" w:fill="FFFFFF"/>
          </w:tcPr>
          <w:p>
            <w:r>
              <w:rPr/>
              <w:t xml:space="preserve">Revenus abonnements</w:t>
            </w:r>
          </w:p>
        </w:tc>
        <w:tc>
          <w:tcPr>
            <w:shd w:val="clear" w:color="auto" w:fill="FFFFFF"/>
          </w:tcPr>
          <w:p>
            <w:r>
              <w:rPr/>
              <w:t xml:space="preserve">240 000 $</w:t>
            </w:r>
          </w:p>
        </w:tc>
        <w:tc>
          <w:tcPr>
            <w:shd w:val="clear" w:color="auto" w:fill="FFFFFF"/>
          </w:tcPr>
          <w:p>
            <w:r>
              <w:rPr/>
              <w:t xml:space="preserve">403 200 $</w:t>
            </w:r>
          </w:p>
        </w:tc>
        <w:tc>
          <w:tcPr>
            <w:shd w:val="clear" w:color="auto" w:fill="FFFFFF"/>
          </w:tcPr>
          <w:p>
            <w:r>
              <w:rPr/>
              <w:t xml:space="preserve">960 000 $</w:t>
            </w:r>
          </w:p>
        </w:tc>
      </w:tr>
      <w:tr>
        <w:tc>
          <w:tcPr>
            <w:shd w:val="clear" w:color="auto" w:fill="DEEAF1"/>
          </w:tcPr>
          <w:p>
            <w:r>
              <w:rPr/>
              <w:t xml:space="preserve">Revenus B2B</w:t>
            </w:r>
          </w:p>
        </w:tc>
        <w:tc>
          <w:tcPr>
            <w:shd w:val="clear" w:color="auto" w:fill="DEEAF1"/>
          </w:tcPr>
          <w:p>
            <w:r>
              <w:rPr/>
              <w:t xml:space="preserve">64 000 $</w:t>
            </w:r>
          </w:p>
        </w:tc>
        <w:tc>
          <w:tcPr>
            <w:shd w:val="clear" w:color="auto" w:fill="DEEAF1"/>
          </w:tcPr>
          <w:p>
            <w:r>
              <w:rPr/>
              <w:t xml:space="preserve">96 000 $</w:t>
            </w:r>
          </w:p>
        </w:tc>
        <w:tc>
          <w:tcPr>
            <w:shd w:val="clear" w:color="auto" w:fill="DEEAF1"/>
          </w:tcPr>
          <w:p>
            <w:r>
              <w:rPr/>
              <w:t xml:space="preserve">128 000 $</w:t>
            </w:r>
          </w:p>
        </w:tc>
      </w:tr>
      <w:tr>
        <w:tc>
          <w:tcPr>
            <w:shd w:val="clear" w:color="auto" w:fill="FFFFFF"/>
          </w:tcPr>
          <w:p>
            <w:r>
              <w:rPr/>
              <w:t xml:space="preserve">Revenus publicité</w:t>
            </w:r>
          </w:p>
        </w:tc>
        <w:tc>
          <w:tcPr>
            <w:shd w:val="clear" w:color="auto" w:fill="FFFFFF"/>
          </w:tcPr>
          <w:p>
            <w:r>
              <w:rPr/>
              <w:t xml:space="preserve">28 000 $</w:t>
            </w:r>
          </w:p>
        </w:tc>
        <w:tc>
          <w:tcPr>
            <w:shd w:val="clear" w:color="auto" w:fill="FFFFFF"/>
          </w:tcPr>
          <w:p>
            <w:r>
              <w:rPr/>
              <w:t xml:space="preserve">45 000 $</w:t>
            </w:r>
          </w:p>
        </w:tc>
        <w:tc>
          <w:tcPr>
            <w:shd w:val="clear" w:color="auto" w:fill="FFFFFF"/>
          </w:tcPr>
          <w:p>
            <w:r>
              <w:rPr/>
              <w:t xml:space="preserve">72 000 $</w:t>
            </w:r>
          </w:p>
        </w:tc>
      </w:tr>
      <w:tr>
        <w:tc>
          <w:tcPr>
            <w:shd w:val="clear" w:color="auto" w:fill="DEEAF1"/>
          </w:tcPr>
          <w:p>
            <w:r>
              <w:rPr>
                <w:b/>
              </w:rPr>
              <w:t xml:space="preserve">Total revenus</w:t>
            </w:r>
          </w:p>
        </w:tc>
        <w:tc>
          <w:tcPr>
            <w:shd w:val="clear" w:color="auto" w:fill="DEEAF1"/>
          </w:tcPr>
          <w:p>
            <w:r>
              <w:rPr>
                <w:b/>
              </w:rPr>
              <w:t xml:space="preserve">332 000 $</w:t>
            </w:r>
          </w:p>
        </w:tc>
        <w:tc>
          <w:tcPr>
            <w:shd w:val="clear" w:color="auto" w:fill="DEEAF1"/>
          </w:tcPr>
          <w:p>
            <w:r>
              <w:rPr>
                <w:b/>
              </w:rPr>
              <w:t xml:space="preserve">544 200 $</w:t>
            </w:r>
          </w:p>
        </w:tc>
        <w:tc>
          <w:tcPr>
            <w:shd w:val="clear" w:color="auto" w:fill="DEEAF1"/>
          </w:tcPr>
          <w:p>
            <w:r>
              <w:rPr>
                <w:b/>
              </w:rPr>
              <w:t xml:space="preserve">1 160 000 $</w:t>
            </w:r>
          </w:p>
        </w:tc>
      </w:tr>
      <w:tr>
        <w:tc>
          <w:tcPr>
            <w:shd w:val="clear" w:color="auto" w:fill="FFFFFF"/>
          </w:tcPr>
          <w:p>
            <w:r>
              <w:rPr/>
              <w:t xml:space="preserve">Résultat net</w:t>
            </w:r>
          </w:p>
        </w:tc>
        <w:tc>
          <w:tcPr>
            <w:shd w:val="clear" w:color="auto" w:fill="FFFFFF"/>
          </w:tcPr>
          <w:p>
            <w:r>
              <w:rPr/>
              <w:t xml:space="preserve">-272 000 $</w:t>
            </w:r>
          </w:p>
        </w:tc>
        <w:tc>
          <w:tcPr>
            <w:shd w:val="clear" w:color="auto" w:fill="FFFFFF"/>
          </w:tcPr>
          <w:p>
            <w:r>
              <w:rPr/>
              <w:t xml:space="preserve">-59 800 $</w:t>
            </w:r>
          </w:p>
        </w:tc>
        <w:tc>
          <w:tcPr>
            <w:shd w:val="clear" w:color="auto" w:fill="FFFFFF"/>
          </w:tcPr>
          <w:p>
            <w:r>
              <w:rPr/>
              <w:t xml:space="preserve">556 000 $</w:t>
            </w:r>
          </w:p>
        </w:tc>
      </w:tr>
    </w:tbl>
    <w:p>
      <w:pPr>
        <w:pStyle w:val="Heading2"/>
      </w:pPr>
      <w:r>
        <w:rPr/>
        <w:t xml:space="preserve">Graphique 5 — Comparaison des scénarios de sensibilité :</w:t>
      </w:r>
    </w:p>
    <w:p>
      <w:pPr>
        <w:pStyle w:val="Heading1"/>
      </w:pPr>
      <w:r>
        <w:rPr/>
        <w:t xml:space="preserve">10. Conclusion</w:t>
      </w:r>
    </w:p>
    <w:p>
      <w:pPr>
        <w:pStyle w:val="Normal"/>
      </w:pPr>
      <w:r>
        <w:rPr/>
        <w:t xml:space="preserve">PanierClair présente un profil financier caractéristique des startups SaaS à forte croissance : des pertes contrôlées durant les premières années, suivies d'une accélération vers la rentabilité. La trajectoire décrite dans ce plan est fondée sur des hypothèses prudentes (scénario de base) et peut être significativement améliorée dans un scénario optimiste. L'équipe de PanierClair est engagée à livrer une exécution rigoureuse, à mesurer ses KPI de façon hebdomadaire et à ajuster sa stratégie en temps réel. Avec le financement Série A en place, PanierClair sera en excellente position pour atteindre la rentabilité dès l'année 4 et s'imposer comme le leader de la gestion de budget alimentaire en français au Canada.</w:t>
      </w:r>
    </w:p>
    <w:p>
      <w:r>
        <w:drawing>
          <wp:inline xmlns:wp="http://schemas.openxmlformats.org/drawingml/2006/wordprocessingDrawing" distT="0" distB="0" distL="0" distR="0">
            <wp:extent cx="5486400" cy="3200400"/>
            <wp:effectExtent l="0" t="0" r="0" b="0"/>
            <wp:docPr id="1" name="Revenus vs Charges vs Résultat Net"/>
            <wp:cNvGraphicFramePr/>
            <a:graphic xmlns:a="http://schemas.openxmlformats.org/drawingml/2006/main">
              <a:graphicData uri="http://schemas.openxmlformats.org/drawingml/2006/chart">
                <c:chart xmlns:c="http://schemas.openxmlformats.org/drawingml/2006/chart" xmlns:r="http://schemas.openxmlformats.org/officeDocument/2006/relationships" r:id="rId_chart1"/>
              </a:graphicData>
            </a:graphic>
          </wp:inline>
        </w:drawing>
      </w:r>
    </w:p>
    <w:p>
      <w:r>
        <w:drawing>
          <wp:inline xmlns:wp="http://schemas.openxmlformats.org/drawingml/2006/wordprocessingDrawing" distT="0" distB="0" distL="0" distR="0">
            <wp:extent cx="5486400" cy="3200400"/>
            <wp:effectExtent l="0" t="0" r="0" b="0"/>
            <wp:docPr id="2" name="Ventilation des revenus par source"/>
            <wp:cNvGraphicFramePr/>
            <a:graphic xmlns:a="http://schemas.openxmlformats.org/drawingml/2006/main">
              <a:graphicData uri="http://schemas.openxmlformats.org/drawingml/2006/chart">
                <c:chart xmlns:c="http://schemas.openxmlformats.org/drawingml/2006/chart" xmlns:r="http://schemas.openxmlformats.org/officeDocument/2006/relationships" r:id="rId_chart2"/>
              </a:graphicData>
            </a:graphic>
          </wp:inline>
        </w:drawing>
      </w:r>
    </w:p>
    <w:p>
      <w:r>
        <w:drawing>
          <wp:inline xmlns:wp="http://schemas.openxmlformats.org/drawingml/2006/wordprocessingDrawing" distT="0" distB="0" distL="0" distR="0">
            <wp:extent cx="5486400" cy="3200400"/>
            <wp:effectExtent l="0" t="0" r="0" b="0"/>
            <wp:docPr id="3" name="Solde de trésorerie cumulatif — Anné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_chart3"/>
              </a:graphicData>
            </a:graphic>
          </wp:inline>
        </w:drawing>
      </w:r>
    </w:p>
    <w:p>
      <w:r>
        <w:drawing>
          <wp:inline xmlns:wp="http://schemas.openxmlformats.org/drawingml/2006/wordprocessingDrawing" distT="0" distB="0" distL="0" distR="0">
            <wp:extent cx="5486400" cy="3200400"/>
            <wp:effectExtent l="0" t="0" r="0" b="0"/>
            <wp:docPr id="4" name="Croissance UAM et Abonnés Premium"/>
            <wp:cNvGraphicFramePr/>
            <a:graphic xmlns:a="http://schemas.openxmlformats.org/drawingml/2006/main">
              <a:graphicData uri="http://schemas.openxmlformats.org/drawingml/2006/chart">
                <c:chart xmlns:c="http://schemas.openxmlformats.org/drawingml/2006/chart" xmlns:r="http://schemas.openxmlformats.org/officeDocument/2006/relationships" r:id="rId_chart4"/>
              </a:graphicData>
            </a:graphic>
          </wp:inline>
        </w:drawing>
      </w:r>
    </w:p>
    <w:p>
      <w:r>
        <w:drawing>
          <wp:inline xmlns:wp="http://schemas.openxmlformats.org/drawingml/2006/wordprocessingDrawing" distT="0" distB="0" distL="0" distR="0">
            <wp:extent cx="5486400" cy="3200400"/>
            <wp:effectExtent l="0" t="0" r="0" b="0"/>
            <wp:docPr id="5" name="Comparaison des scénarios de sensibilité"/>
            <wp:cNvGraphicFramePr/>
            <a:graphic xmlns:a="http://schemas.openxmlformats.org/drawingml/2006/main">
              <a:graphicData uri="http://schemas.openxmlformats.org/drawingml/2006/chart">
                <c:chart xmlns:c="http://schemas.openxmlformats.org/drawingml/2006/chart" xmlns:r="http://schemas.openxmlformats.org/officeDocument/2006/relationships" r:id="rId_chart5"/>
              </a:graphicData>
            </a:graphic>
          </wp:inline>
        </w:drawing>
      </w:r>
    </w:p>
    <w:sectPr>
      <w:footerReference w:type="default" r:id="rId_footer1"/>
      <w:pgSz w:w="12240" w:h="15840"/>
      <w:pgMar w:top="1440" w:right="1440" w:bottom="1440" w:left="1440" w:header="720" w:footer="720" w:gutter="0"/>
    </w:sectPr>
  </w:body>
</w:document>
</file>

<file path=word/footer1.xml><?xml version="1.0" encoding="utf-8"?>
<w:ftr xmlns:w="http://schemas.openxmlformats.org/wordprocessingml/2006/main" xmlns:r="http://schemas.openxmlformats.org/officeDocument/2006/relationships">
  <w:p>
    <w:pPr>
      <w:jc w:val="center"/>
      <w:rPr>
        <w:sz w:val="18"/>
        <w:szCs w:val="18"/>
      </w:rPr>
    </w:pPr>
    <w:r>
      <w:rPr>
        <w:sz w:val="18"/>
      </w:rPr>
      <w:t xml:space="preserve">PanierClair — Plan Financier 2026–2028 | Mars 2026 — Page </w:t>
    </w:r>
    <w:fldChar w:fldCharType="begin"/>
    <w:instrText> PAGE </w:instrText>
    <w:fldChar w:fldCharType="end"/>
    <w:r>
      <w:rPr>
        <w:sz w:val="18"/>
      </w:rPr>
      <w:t xml:space="preserve"> / </w:t>
    </w:r>
    <w:fldChar w:fldCharType="begin"/>
    <w:instrText> NUMPAGES </w:instrText>
    <w:fldChar w:fldCharType="end"/>
  </w:p>
</w:ft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cs="Calibri"/>
        <w:sz w:val="22"/>
        <w:szCs w:val="22"/>
        <w:lang w:val="fr-CA" w:eastAsia="fr-CA" w:bidi="ar-SA"/>
      </w:rPr>
    </w:rPrDefault>
  </w:docDefaults>
  <w:style w:type="paragraph" w:styleId="Normal">
    <w:name w:val="Normal"/>
    <w:qFormat/>
  </w:style>
  <w:style w:type="paragraph" w:styleId="Title">
    <w:name w:val="Title"/>
    <w:basedOn w:val="Normal"/>
    <w:pPr>
      <w:jc w:val="center"/>
      <w:spacing w:before="240" w:after="240"/>
    </w:pPr>
    <w:rPr>
      <w:rFonts w:ascii="Calibri Light" w:hAnsi="Calibri Light"/>
      <w:b/>
      <w:color w:val="1F5C99"/>
      <w:sz w:val="52"/>
      <w:szCs w:val="52"/>
    </w:rPr>
  </w:style>
  <w:style w:type="paragraph" w:styleId="Heading1">
    <w:name w:val="heading 1"/>
    <w:basedOn w:val="Normal"/>
    <w:next w:val="Normal"/>
    <w:pPr>
      <w:outlineLvl w:val="0"/>
      <w:spacing w:before="480" w:after="120"/>
      <w:pBdr>
        <w:bottom w:val="single" w:sz="4" w:space="4" w:color="1F5C99"/>
      </w:pBdr>
    </w:pPr>
    <w:rPr>
      <w:rFonts w:ascii="Calibri Light" w:hAnsi="Calibri Light"/>
      <w:b/>
      <w:color w:val="1F5C99"/>
      <w:sz w:val="32"/>
      <w:szCs w:val="32"/>
    </w:rPr>
  </w:style>
  <w:style w:type="paragraph" w:styleId="Heading2">
    <w:name w:val="heading 2"/>
    <w:basedOn w:val="Normal"/>
    <w:next w:val="Normal"/>
    <w:pPr>
      <w:outlineLvl w:val="1"/>
      <w:spacing w:before="360" w:after="80"/>
    </w:pPr>
    <w:rPr>
      <w:rFonts w:ascii="Calibri" w:hAnsi="Calibri"/>
      <w:b/>
      <w:color w:val="2E74B5"/>
      <w:sz w:val="26"/>
      <w:szCs w:val="26"/>
    </w:rPr>
  </w:style>
  <w:style w:type="paragraph" w:styleId="Heading3">
    <w:name w:val="heading 3"/>
    <w:basedOn w:val="Normal"/>
    <w:next w:val="Normal"/>
    <w:pPr>
      <w:outlineLvl w:val="2"/>
      <w:spacing w:before="280" w:after="60"/>
    </w:pPr>
    <w:rPr>
      <w:rFonts w:ascii="Calibri" w:hAnsi="Calibri"/>
      <w:b/>
      <w:color w:val="5B9BD5"/>
      <w:sz w:val="24"/>
      <w:szCs w:val="24"/>
    </w:rPr>
  </w:style>
  <w:style w:type="paragraph" w:styleId="TOCHeading">
    <w:name w:val="TOC Heading"/>
    <w:basedOn w:val="Heading1"/>
    <w:pPr>
      <w:spacing w:before="240" w:after="120"/>
    </w:pPr>
  </w:style>
  <w:style w:type="paragraph" w:styleId="TOC1">
    <w:name w:val="toc 1"/>
    <w:basedOn w:val="Normal"/>
    <w:pPr>
      <w:spacing w:before="80" w:after="40"/>
      <w:ind w:left="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_styles"  Type="http://schemas.openxmlformats.org/officeDocument/2006/relationships/styles"  Target="styles.xml"/>
  <Relationship Id="rId_settings" Type="http://schemas.openxmlformats.org/officeDocument/2006/relationships/settings" Target="settings.xml"/>
  <Relationship Id="rId_footer1" Type="http://schemas.openxmlformats.org/officeDocument/2006/relationships/footer" Target="footer1.xml"/>
  <Relationship Id="rId_chart1" Type="http://schemas.openxmlformats.org/officeDocument/2006/relationships/chart" Target="charts/chart1.xml"/>
  <Relationship Id="rId_chart2" Type="http://schemas.openxmlformats.org/officeDocument/2006/relationships/chart" Target="charts/chart2.xml"/>
  <Relationship Id="rId_chart3" Type="http://schemas.openxmlformats.org/officeDocument/2006/relationships/chart" Target="charts/chart3.xml"/>
  <Relationship Id="rId_chart4" Type="http://schemas.openxmlformats.org/officeDocument/2006/relationships/chart" Target="charts/chart4.xml"/>
  <Relationship Id="rId_chart5" Type="http://schemas.openxmlformats.org/officeDocument/2006/relationships/chart" Target="charts/chart5.xml"/>
</Relationships>
</file>

<file path=word/_rels/footer1.xml.rels><?xml version="1.0" encoding="UTF-8" standalone="yes"?>
<Relationships xmlns="http://schemas.openxmlformats.org/package/2006/relationships">
</Relationships>
</file>

<file path=word/charts/_rels/chart1.xml.rels><?xml version="1.0" encoding="UTF-8" standalone="yes"?>
<Relationships xmlns="http://schemas.openxmlformats.org/package/2006/relationships">
</Relationships>
</file>

<file path=word/charts/_rels/chart2.xml.rels><?xml version="1.0" encoding="UTF-8" standalone="yes"?>
<Relationships xmlns="http://schemas.openxmlformats.org/package/2006/relationships">
</Relationships>
</file>

<file path=word/charts/_rels/chart3.xml.rels><?xml version="1.0" encoding="UTF-8" standalone="yes"?>
<Relationships xmlns="http://schemas.openxmlformats.org/package/2006/relationships">
</Relationships>
</file>

<file path=word/charts/_rels/chart4.xml.rels><?xml version="1.0" encoding="UTF-8" standalone="yes"?>
<Relationships xmlns="http://schemas.openxmlformats.org/package/2006/relationships">
</Relationships>
</file>

<file path=word/charts/_rels/chart5.xml.rels><?xml version="1.0" encoding="UTF-8" standalone="yes"?>
<Relationships xmlns="http://schemas.openxmlformats.org/package/2006/relationships">
</Relationships>
</file>

<file path=word/charts/chart1.xml><?xml version="1.0" encoding="utf-8"?>
<c:chartSpace xmlns:c="http://schemas.openxmlformats.org/drawingml/2006/chart" xmlns:a="http://schemas.openxmlformats.org/drawingml/2006/main" xmlns:r="http://schemas.openxmlformats.org/officeDocument/2006/relationships">
  <c:lang val="fr-CA"/>
  <c:roundedCorners val="0"/>
  <c:chart>
    <c:title>
      <c:tx>
        <c:rich>
          <a:bodyPr/>
          <a:lstStyle/>
          <a:p>
            <a:r>
              <a:rPr lang="fr-CA" b="1"/>
              <a:t>Revenus vs Charges vs Résultat Net (Années 1–3)</a:t>
            </a:r>
          </a:p>
        </c:rich>
      </c:tx>
      <c:overlay val="0"/>
    </c:title>
    <c:autoTitleDeleted val="0"/>
    <c:plotArea>
      <c:layout/>
      <c:barChart>
        <c:barDir val="col"/>
        <c:grouping val="clustered"/>
        <c:varyColors val="0"/>
        <c:ser>
          <c:idx val="0"/>
          <c:order val="0"/>
          <c:tx>
            <c:strRef>
              <c:f>Sheet1!$A$1</c:f>
              <c:strCache>
                <c:ptCount val="1"/>
                <c:pt idx="0">
                  <c:v>Revenus</c:v>
                </c:pt>
              </c:strCache>
            </c:strRef>
          </c:tx>
          <c:cat>
            <c:strRef>
              <c:f>Sheet1!$B$1</c:f>
              <c:strCache>
                <c:ptCount val="3"/>
                <c:pt idx="0">
                  <c:v>Année 1</c:v>
                </c:pt>
                <c:pt idx="1">
                  <c:v>Année 2</c:v>
                </c:pt>
                <c:pt idx="2">
                  <c:v>Année 3</c:v>
                </c:pt>
              </c:strCache>
            </c:strRef>
          </c:cat>
          <c:val>
            <c:numRef>
              <c:f>Sheet1!$B$2</c:f>
              <c:numCache>
                <c:formatCode>General</c:formatCode>
                <c:ptCount val="3"/>
                <c:pt idx="0">
                  <c:v>53000</c:v>
                </c:pt>
                <c:pt idx="1">
                  <c:v>202000</c:v>
                </c:pt>
                <c:pt idx="2">
                  <c:v>544200</c:v>
                </c:pt>
              </c:numCache>
            </c:numRef>
          </c:val>
        </c:ser>
        <c:ser>
          <c:idx val="1"/>
          <c:order val="1"/>
          <c:tx>
            <c:strRef>
              <c:f>Sheet1!$A$1</c:f>
              <c:strCache>
                <c:ptCount val="1"/>
                <c:pt idx="0">
                  <c:v>Charges</c:v>
                </c:pt>
              </c:strCache>
            </c:strRef>
          </c:tx>
          <c:cat>
            <c:strRef>
              <c:f>Sheet1!$B$1</c:f>
              <c:strCache>
                <c:ptCount val="3"/>
                <c:pt idx="0">
                  <c:v>Année 1</c:v>
                </c:pt>
                <c:pt idx="1">
                  <c:v>Année 2</c:v>
                </c:pt>
                <c:pt idx="2">
                  <c:v>Année 3</c:v>
                </c:pt>
              </c:strCache>
            </c:strRef>
          </c:cat>
          <c:val>
            <c:numRef>
              <c:f>Sheet1!$B$2</c:f>
              <c:numCache>
                <c:formatCode>General</c:formatCode>
                <c:ptCount val="3"/>
                <c:pt idx="0">
                  <c:v>255000</c:v>
                </c:pt>
                <c:pt idx="1">
                  <c:v>404000</c:v>
                </c:pt>
                <c:pt idx="2">
                  <c:v>604000</c:v>
                </c:pt>
              </c:numCache>
            </c:numRef>
          </c:val>
        </c:ser>
        <c:ser>
          <c:idx val="2"/>
          <c:order val="2"/>
          <c:tx>
            <c:strRef>
              <c:f>Sheet1!$A$1</c:f>
              <c:strCache>
                <c:ptCount val="1"/>
                <c:pt idx="0">
                  <c:v>Résultat Net</c:v>
                </c:pt>
              </c:strCache>
            </c:strRef>
          </c:tx>
          <c:cat>
            <c:strRef>
              <c:f>Sheet1!$B$1</c:f>
              <c:strCache>
                <c:ptCount val="3"/>
                <c:pt idx="0">
                  <c:v>Année 1</c:v>
                </c:pt>
                <c:pt idx="1">
                  <c:v>Année 2</c:v>
                </c:pt>
                <c:pt idx="2">
                  <c:v>Année 3</c:v>
                </c:pt>
              </c:strCache>
            </c:strRef>
          </c:cat>
          <c:val>
            <c:numRef>
              <c:f>Sheet1!$B$2</c:f>
              <c:numCache>
                <c:formatCode>General</c:formatCode>
                <c:ptCount val="3"/>
                <c:pt idx="0">
                  <c:v>-202000</c:v>
                </c:pt>
                <c:pt idx="1">
                  <c:v>-202000</c:v>
                </c:pt>
                <c:pt idx="2">
                  <c:v>-59800</c:v>
                </c:pt>
              </c:numCache>
            </c:numRef>
          </c:val>
        </c:ser>
        <c:axId val="1"/>
        <c:axId val="2"/>
      </c:barChart>
      <c:catAx>
        <c:axId val="1"/>
        <c:scaling>
          <c:orientation val="minMax"/>
        </c:scaling>
        <c:delete val="0"/>
        <c:axPos val="b"/>
        <c:crossAx val="2"/>
      </c:catAx>
      <c:valAx>
        <c:axId val="2"/>
        <c:scaling>
          <c:orientation val="minMax"/>
        </c:scaling>
        <c:delete val="0"/>
        <c:axPos val="l"/>
        <c:crossAx val="1"/>
      </c:valAx>
    </c:plotArea>
    <c:legend>
      <c:legendPos val="b"/>
    </c:legend>
    <c:plotVisOnly val="1"/>
  </c:chart>
</c:chartSpace>
</file>

<file path=word/charts/chart2.xml><?xml version="1.0" encoding="utf-8"?>
<c:chartSpace xmlns:c="http://schemas.openxmlformats.org/drawingml/2006/chart" xmlns:a="http://schemas.openxmlformats.org/drawingml/2006/main" xmlns:r="http://schemas.openxmlformats.org/officeDocument/2006/relationships">
  <c:lang val="fr-CA"/>
  <c:roundedCorners val="0"/>
  <c:chart>
    <c:title>
      <c:tx>
        <c:rich>
          <a:bodyPr/>
          <a:lstStyle/>
          <a:p>
            <a:r>
              <a:rPr lang="fr-CA" b="1"/>
              <a:t>Ventilation des revenus par source (Années 1–3)</a:t>
            </a:r>
          </a:p>
        </c:rich>
      </c:tx>
      <c:overlay val="0"/>
    </c:title>
    <c:autoTitleDeleted val="0"/>
    <c:plotArea>
      <c:layout/>
      <c:barChart>
        <c:barDir val="col"/>
        <c:grouping val="stacked"/>
        <c:varyColors val="0"/>
        <c:ser>
          <c:idx val="0"/>
          <c:order val="0"/>
          <c:tx>
            <c:strRef>
              <c:f>Sheet1!$A$1</c:f>
              <c:strCache>
                <c:ptCount val="1"/>
                <c:pt idx="0">
                  <c:v>Abonnements Premium</c:v>
                </c:pt>
              </c:strCache>
            </c:strRef>
          </c:tx>
          <c:cat>
            <c:strRef>
              <c:f>Sheet1!$B$1</c:f>
              <c:strCache>
                <c:ptCount val="3"/>
                <c:pt idx="0">
                  <c:v>Année 1</c:v>
                </c:pt>
                <c:pt idx="1">
                  <c:v>Année 2</c:v>
                </c:pt>
                <c:pt idx="2">
                  <c:v>Année 3</c:v>
                </c:pt>
              </c:strCache>
            </c:strRef>
          </c:cat>
          <c:val>
            <c:numRef>
              <c:f>Sheet1!$B$2</c:f>
              <c:numCache>
                <c:formatCode>General</c:formatCode>
                <c:ptCount val="3"/>
                <c:pt idx="0">
                  <c:v>32000</c:v>
                </c:pt>
                <c:pt idx="1">
                  <c:v>144000</c:v>
                </c:pt>
                <c:pt idx="2">
                  <c:v>403200</c:v>
                </c:pt>
              </c:numCache>
            </c:numRef>
          </c:val>
        </c:ser>
        <c:ser>
          <c:idx val="1"/>
          <c:order val="1"/>
          <c:tx>
            <c:strRef>
              <c:f>Sheet1!$A$1</c:f>
              <c:strCache>
                <c:ptCount val="1"/>
                <c:pt idx="0">
                  <c:v>Partenariats B2B</c:v>
                </c:pt>
              </c:strCache>
            </c:strRef>
          </c:tx>
          <c:cat>
            <c:strRef>
              <c:f>Sheet1!$B$1</c:f>
              <c:strCache>
                <c:ptCount val="3"/>
                <c:pt idx="0">
                  <c:v>Année 1</c:v>
                </c:pt>
                <c:pt idx="1">
                  <c:v>Année 2</c:v>
                </c:pt>
                <c:pt idx="2">
                  <c:v>Année 3</c:v>
                </c:pt>
              </c:strCache>
            </c:strRef>
          </c:cat>
          <c:val>
            <c:numRef>
              <c:f>Sheet1!$B$2</c:f>
              <c:numCache>
                <c:formatCode>General</c:formatCode>
                <c:ptCount val="3"/>
                <c:pt idx="0">
                  <c:v>16000</c:v>
                </c:pt>
                <c:pt idx="1">
                  <c:v>40000</c:v>
                </c:pt>
                <c:pt idx="2">
                  <c:v>96000</c:v>
                </c:pt>
              </c:numCache>
            </c:numRef>
          </c:val>
        </c:ser>
        <c:ser>
          <c:idx val="2"/>
          <c:order val="2"/>
          <c:tx>
            <c:strRef>
              <c:f>Sheet1!$A$1</c:f>
              <c:strCache>
                <c:ptCount val="1"/>
                <c:pt idx="0">
                  <c:v>Publicité</c:v>
                </c:pt>
              </c:strCache>
            </c:strRef>
          </c:tx>
          <c:cat>
            <c:strRef>
              <c:f>Sheet1!$B$1</c:f>
              <c:strCache>
                <c:ptCount val="3"/>
                <c:pt idx="0">
                  <c:v>Année 1</c:v>
                </c:pt>
                <c:pt idx="1">
                  <c:v>Année 2</c:v>
                </c:pt>
                <c:pt idx="2">
                  <c:v>Année 3</c:v>
                </c:pt>
              </c:strCache>
            </c:strRef>
          </c:cat>
          <c:val>
            <c:numRef>
              <c:f>Sheet1!$B$2</c:f>
              <c:numCache>
                <c:formatCode>General</c:formatCode>
                <c:ptCount val="3"/>
                <c:pt idx="0">
                  <c:v>5000</c:v>
                </c:pt>
                <c:pt idx="1">
                  <c:v>18000</c:v>
                </c:pt>
                <c:pt idx="2">
                  <c:v>45000</c:v>
                </c:pt>
              </c:numCache>
            </c:numRef>
          </c:val>
        </c:ser>
        <c:axId val="1"/>
        <c:axId val="2"/>
      </c:barChart>
      <c:catAx>
        <c:axId val="1"/>
        <c:scaling>
          <c:orientation val="minMax"/>
        </c:scaling>
        <c:delete val="0"/>
        <c:axPos val="b"/>
        <c:crossAx val="2"/>
      </c:catAx>
      <c:valAx>
        <c:axId val="2"/>
        <c:scaling>
          <c:orientation val="minMax"/>
        </c:scaling>
        <c:delete val="0"/>
        <c:axPos val="l"/>
        <c:crossAx val="1"/>
      </c:valAx>
    </c:plotArea>
    <c:legend>
      <c:legendPos val="b"/>
    </c:legend>
    <c:plotVisOnly val="1"/>
  </c:chart>
</c:chartSpace>
</file>

<file path=word/charts/chart3.xml><?xml version="1.0" encoding="utf-8"?>
<c:chartSpace xmlns:c="http://schemas.openxmlformats.org/drawingml/2006/chart" xmlns:a="http://schemas.openxmlformats.org/drawingml/2006/main" xmlns:r="http://schemas.openxmlformats.org/officeDocument/2006/relationships">
  <c:lang val="fr-CA"/>
  <c:roundedCorners val="0"/>
  <c:chart>
    <c:title>
      <c:tx>
        <c:rich>
          <a:bodyPr/>
          <a:lstStyle/>
          <a:p>
            <a:r>
              <a:rPr lang="fr-CA" b="1"/>
              <a:t>Solde de trésorerie cumulatif — Année 1</a:t>
            </a:r>
          </a:p>
        </c:rich>
      </c:tx>
      <c:overlay val="0"/>
    </c:title>
    <c:autoTitleDeleted val="0"/>
    <c:plotArea>
      <c:layout/>
      <c:lineChart>
        <c:grouping val="standard"/>
        <c:varyColors val="0"/>
        <c:ser>
          <c:idx val="0"/>
          <c:order val="0"/>
          <c:tx>
            <c:strRef>
              <c:f>Sheet1!$A$1</c:f>
              <c:strCache>
                <c:ptCount val="1"/>
                <c:pt idx="0">
                  <c:v>Solde cumulatif ($)</c:v>
                </c:pt>
              </c:strCache>
            </c:strRef>
          </c:tx>
          <c:marker>
            <c:symbol val="circle"/>
            <c:size val="5"/>
          </c:marker>
          <c:cat>
            <c:strRef>
              <c:f>Sheet1!$B$1</c:f>
              <c:strCache>
                <c:ptCount val="12"/>
                <c:pt idx="0">
                  <c:v>Jan</c:v>
                </c:pt>
                <c:pt idx="1">
                  <c:v>Fév</c:v>
                </c:pt>
                <c:pt idx="2">
                  <c:v>Mar</c:v>
                </c:pt>
                <c:pt idx="3">
                  <c:v>Avr</c:v>
                </c:pt>
                <c:pt idx="4">
                  <c:v>Mai</c:v>
                </c:pt>
                <c:pt idx="5">
                  <c:v>Jun</c:v>
                </c:pt>
                <c:pt idx="6">
                  <c:v>Jul</c:v>
                </c:pt>
                <c:pt idx="7">
                  <c:v>Aoû</c:v>
                </c:pt>
                <c:pt idx="8">
                  <c:v>Sep</c:v>
                </c:pt>
                <c:pt idx="9">
                  <c:v>Oct</c:v>
                </c:pt>
                <c:pt idx="10">
                  <c:v>Nov</c:v>
                </c:pt>
                <c:pt idx="11">
                  <c:v>Déc</c:v>
                </c:pt>
              </c:strCache>
            </c:strRef>
          </c:cat>
          <c:val>
            <c:numRef>
              <c:f>Sheet1!$B$2</c:f>
              <c:numCache>
                <c:formatCode>General</c:formatCode>
                <c:ptCount val="12"/>
                <c:pt idx="0">
                  <c:v>279950</c:v>
                </c:pt>
                <c:pt idx="1">
                  <c:v>260200</c:v>
                </c:pt>
                <c:pt idx="2">
                  <c:v>240950</c:v>
                </c:pt>
                <c:pt idx="3">
                  <c:v>222200</c:v>
                </c:pt>
                <c:pt idx="4">
                  <c:v>203950</c:v>
                </c:pt>
                <c:pt idx="5">
                  <c:v>186200</c:v>
                </c:pt>
                <c:pt idx="6">
                  <c:v>168950</c:v>
                </c:pt>
                <c:pt idx="7">
                  <c:v>152200</c:v>
                </c:pt>
                <c:pt idx="8">
                  <c:v>135950</c:v>
                </c:pt>
                <c:pt idx="9">
                  <c:v>120000</c:v>
                </c:pt>
                <c:pt idx="10">
                  <c:v>104450</c:v>
                </c:pt>
                <c:pt idx="11">
                  <c:v>89200</c:v>
                </c:pt>
              </c:numCache>
            </c:numRef>
          </c:val>
          <c:smooth val="0"/>
        </c:ser>
        <c:marker>
          <c:symbol val="none"/>
        </c:marker>
        <c:axId val="1"/>
        <c:axId val="2"/>
      </c:lineChart>
      <c:catAx>
        <c:axId val="1"/>
        <c:scaling>
          <c:orientation val="minMax"/>
        </c:scaling>
        <c:delete val="0"/>
        <c:axPos val="b"/>
        <c:tickLblSkip val="1"/>
        <c:crossAx val="2"/>
      </c:catAx>
      <c:valAx>
        <c:axId val="2"/>
        <c:scaling>
          <c:orientation val="minMax"/>
        </c:scaling>
        <c:delete val="0"/>
        <c:axPos val="l"/>
        <c:crossAx val="1"/>
      </c:valAx>
    </c:plotArea>
    <c:legend>
      <c:legendPos val="b"/>
    </c:legend>
    <c:plotVisOnly val="1"/>
  </c:chart>
</c:chartSpace>
</file>

<file path=word/charts/chart4.xml><?xml version="1.0" encoding="utf-8"?>
<c:chartSpace xmlns:c="http://schemas.openxmlformats.org/drawingml/2006/chart" xmlns:a="http://schemas.openxmlformats.org/drawingml/2006/main" xmlns:r="http://schemas.openxmlformats.org/officeDocument/2006/relationships">
  <c:lang val="fr-CA"/>
  <c:roundedCorners val="0"/>
  <c:chart>
    <c:title>
      <c:tx>
        <c:rich>
          <a:bodyPr/>
          <a:lstStyle/>
          <a:p>
            <a:r>
              <a:rPr lang="fr-CA" b="1"/>
              <a:t>Croissance UAM et Abonnés Premium (Années 1–3)</a:t>
            </a:r>
          </a:p>
        </c:rich>
      </c:tx>
      <c:overlay val="0"/>
    </c:title>
    <c:autoTitleDeleted val="0"/>
    <c:plotArea>
      <c:layout/>
      <c:lineChart>
        <c:grouping val="standard"/>
        <c:varyColors val="0"/>
        <c:ser>
          <c:idx val="0"/>
          <c:order val="0"/>
          <c:tx>
            <c:strRef>
              <c:f>Sheet1!$A$1</c:f>
              <c:strCache>
                <c:ptCount val="1"/>
                <c:pt idx="0">
                  <c:v>UAM</c:v>
                </c:pt>
              </c:strCache>
            </c:strRef>
          </c:tx>
          <c:marker>
            <c:symbol val="circle"/>
            <c:size val="5"/>
          </c:marker>
          <c:cat>
            <c:strRef>
              <c:f>Sheet1!$B$1</c:f>
              <c:strCache>
                <c:ptCount val="3"/>
                <c:pt idx="0">
                  <c:v>Année 1</c:v>
                </c:pt>
                <c:pt idx="1">
                  <c:v>Année 2</c:v>
                </c:pt>
                <c:pt idx="2">
                  <c:v>Année 3</c:v>
                </c:pt>
              </c:strCache>
            </c:strRef>
          </c:cat>
          <c:val>
            <c:numRef>
              <c:f>Sheet1!$B$2</c:f>
              <c:numCache>
                <c:formatCode>General</c:formatCode>
                <c:ptCount val="3"/>
                <c:pt idx="0">
                  <c:v>5000</c:v>
                </c:pt>
                <c:pt idx="1">
                  <c:v>18000</c:v>
                </c:pt>
                <c:pt idx="2">
                  <c:v>42000</c:v>
                </c:pt>
              </c:numCache>
            </c:numRef>
          </c:val>
          <c:smooth val="0"/>
        </c:ser>
        <c:ser>
          <c:idx val="1"/>
          <c:order val="1"/>
          <c:tx>
            <c:strRef>
              <c:f>Sheet1!$A$1</c:f>
              <c:strCache>
                <c:ptCount val="1"/>
                <c:pt idx="0">
                  <c:v>Abonnés Premium</c:v>
                </c:pt>
              </c:strCache>
            </c:strRef>
          </c:tx>
          <c:marker>
            <c:symbol val="circle"/>
            <c:size val="5"/>
          </c:marker>
          <c:cat>
            <c:strRef>
              <c:f>Sheet1!$B$1</c:f>
              <c:strCache>
                <c:ptCount val="3"/>
                <c:pt idx="0">
                  <c:v>Année 1</c:v>
                </c:pt>
                <c:pt idx="1">
                  <c:v>Année 2</c:v>
                </c:pt>
                <c:pt idx="2">
                  <c:v>Année 3</c:v>
                </c:pt>
              </c:strCache>
            </c:strRef>
          </c:cat>
          <c:val>
            <c:numRef>
              <c:f>Sheet1!$B$2</c:f>
              <c:numCache>
                <c:formatCode>General</c:formatCode>
                <c:ptCount val="3"/>
                <c:pt idx="0">
                  <c:v>400</c:v>
                </c:pt>
                <c:pt idx="1">
                  <c:v>1800</c:v>
                </c:pt>
                <c:pt idx="2">
                  <c:v>5040</c:v>
                </c:pt>
              </c:numCache>
            </c:numRef>
          </c:val>
          <c:smooth val="0"/>
        </c:ser>
        <c:marker>
          <c:symbol val="none"/>
        </c:marker>
        <c:axId val="1"/>
        <c:axId val="2"/>
      </c:lineChart>
      <c:catAx>
        <c:axId val="1"/>
        <c:scaling>
          <c:orientation val="minMax"/>
        </c:scaling>
        <c:delete val="0"/>
        <c:axPos val="b"/>
        <c:tickLblSkip val="1"/>
        <c:crossAx val="2"/>
      </c:catAx>
      <c:valAx>
        <c:axId val="2"/>
        <c:scaling>
          <c:orientation val="minMax"/>
        </c:scaling>
        <c:delete val="0"/>
        <c:axPos val="l"/>
        <c:crossAx val="1"/>
      </c:valAx>
    </c:plotArea>
    <c:legend>
      <c:legendPos val="b"/>
    </c:legend>
    <c:plotVisOnly val="1"/>
  </c:chart>
</c:chartSpace>
</file>

<file path=word/charts/chart5.xml><?xml version="1.0" encoding="utf-8"?>
<c:chartSpace xmlns:c="http://schemas.openxmlformats.org/drawingml/2006/chart" xmlns:a="http://schemas.openxmlformats.org/drawingml/2006/main" xmlns:r="http://schemas.openxmlformats.org/officeDocument/2006/relationships">
  <c:lang val="fr-CA"/>
  <c:roundedCorners val="0"/>
  <c:chart>
    <c:title>
      <c:tx>
        <c:rich>
          <a:bodyPr/>
          <a:lstStyle/>
          <a:p>
            <a:r>
              <a:rPr lang="fr-CA" b="1"/>
              <a:t>Scénarios de sensibilité — Revenus Année 3</a:t>
            </a:r>
          </a:p>
        </c:rich>
      </c:tx>
      <c:overlay val="0"/>
    </c:title>
    <c:autoTitleDeleted val="0"/>
    <c:plotArea>
      <c:layout/>
      <c:barChart>
        <c:barDir val="col"/>
        <c:grouping val="clustered"/>
        <c:varyColors val="0"/>
        <c:ser>
          <c:idx val="0"/>
          <c:order val="0"/>
          <c:tx>
            <c:strRef>
              <c:f>Sheet1!$A$1</c:f>
              <c:strCache>
                <c:ptCount val="1"/>
                <c:pt idx="0">
                  <c:v>Revenus totaux ($)</c:v>
                </c:pt>
              </c:strCache>
            </c:strRef>
          </c:tx>
          <c:cat>
            <c:strRef>
              <c:f>Sheet1!$B$1</c:f>
              <c:strCache>
                <c:ptCount val="3"/>
                <c:pt idx="0">
                  <c:v>Conservateur</c:v>
                </c:pt>
                <c:pt idx="1">
                  <c:v>Base</c:v>
                </c:pt>
                <c:pt idx="2">
                  <c:v>Optimiste</c:v>
                </c:pt>
              </c:strCache>
            </c:strRef>
          </c:cat>
          <c:val>
            <c:numRef>
              <c:f>Sheet1!$B$2</c:f>
              <c:numCache>
                <c:formatCode>General</c:formatCode>
                <c:ptCount val="3"/>
                <c:pt idx="0">
                  <c:v>332000</c:v>
                </c:pt>
                <c:pt idx="1">
                  <c:v>544200</c:v>
                </c:pt>
                <c:pt idx="2">
                  <c:v>1160000</c:v>
                </c:pt>
              </c:numCache>
            </c:numRef>
          </c:val>
        </c:ser>
        <c:axId val="1"/>
        <c:axId val="2"/>
      </c:barChart>
      <c:catAx>
        <c:axId val="1"/>
        <c:scaling>
          <c:orientation val="minMax"/>
        </c:scaling>
        <c:delete val="0"/>
        <c:axPos val="b"/>
        <c:crossAx val="2"/>
      </c:catAx>
      <c:valAx>
        <c:axId val="2"/>
        <c:scaling>
          <c:orientation val="minMax"/>
        </c:scaling>
        <c:delete val="0"/>
        <c:axPos val="l"/>
        <c:crossAx val="1"/>
      </c:valAx>
    </c:plotArea>
    <c:legend>
      <c:legendPos val="b"/>
    </c:legend>
    <c:plotVisOnly val="1"/>
  </c:chart>
</c:chartSpace>
</file>

<file path=docProps/app.xml><?xml version="1.0" encoding="utf-8"?>
<Properties xmlns="http://schemas.openxmlformats.org/officeDocument/2006/extended-properties">
  <Application>Microsoft Office Word</Application>
  <Company>PanierClair</Company>
</Properties>
</file>

<file path=docProps/core.xml><?xml version="1.0" encoding="utf-8"?>
<cp:coreProperties xmlns:cp="http://schemas.openxmlformats.org/package/2006/metadata/core-properties" xmlns:dc="http://purl.org/dc/elements/1.1/" xmlns:dcterms="http://purl.org/dc/terms/" xmlns:xsi="http://www.w3.org/2001/XMLSchema-instance">
  <dc:title>PanierClair — Plan Financier 2026–2028</dc:title>
  <dc:creator>PanierClair</dc:creator>
  <cp:lastModifiedBy>PanierClair</cp:lastModifiedBy>
  <dcterms:created xsi:type="dcterms:W3CDTF">2026-03-01T00:00:00Z</dcterms:created>
  <dcterms:modified xsi:type="dcterms:W3CDTF">2026-03-01T00:00:00Z</dcterms:modified>
</cp:coreProperties>
</file>