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Läs mig först – Dokumentöversikt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Dokumentöversikt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0"/>
          </w:tcPr>
          <w:p>
            <w:r>
              <w:rPr>
                <w:b/>
              </w:rPr>
              <w:t>Nr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Dokument</w:t>
            </w:r>
          </w:p>
        </w:tc>
        <w:tc>
          <w:tcPr>
            <w:tcW w:type="dxa" w:w="3249"/>
            <w:shd w:fill="D9EAF0"/>
          </w:tcPr>
          <w:p>
            <w:r>
              <w:rPr>
                <w:b/>
              </w:rPr>
              <w:t>Målgrupp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Användarvillkor – Privatpersoner</w:t>
            </w:r>
          </w:p>
        </w:tc>
        <w:tc>
          <w:tcPr>
            <w:tcW w:type="dxa" w:w="3249"/>
          </w:tcPr>
          <w:p>
            <w:r>
              <w:t>Appanvändare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Användarvillkor – Företag</w:t>
            </w:r>
          </w:p>
        </w:tc>
        <w:tc>
          <w:tcPr>
            <w:tcW w:type="dxa" w:w="3249"/>
          </w:tcPr>
          <w:p>
            <w:r>
              <w:t>Företag/partners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Integritetspolicy – Privatpersoner</w:t>
            </w:r>
          </w:p>
        </w:tc>
        <w:tc>
          <w:tcPr>
            <w:tcW w:type="dxa" w:w="3249"/>
          </w:tcPr>
          <w:p>
            <w:r>
              <w:t>Appanvändare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Integritetspolicy – Företag</w:t>
            </w:r>
          </w:p>
        </w:tc>
        <w:tc>
          <w:tcPr>
            <w:tcW w:type="dxa" w:w="3249"/>
          </w:tcPr>
          <w:p>
            <w:r>
              <w:t>Företagsrepresentanter</w:t>
            </w:r>
          </w:p>
        </w:tc>
      </w:tr>
      <w:tr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Cookiepolicy – App</w:t>
            </w:r>
          </w:p>
        </w:tc>
        <w:tc>
          <w:tcPr>
            <w:tcW w:type="dxa" w:w="3249"/>
          </w:tcPr>
          <w:p>
            <w:r>
              <w:t>Appanvändare</w:t>
            </w:r>
          </w:p>
        </w:tc>
      </w:tr>
      <w:tr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Cookiepolicy – Företagsportal</w:t>
            </w:r>
          </w:p>
        </w:tc>
        <w:tc>
          <w:tcPr>
            <w:tcW w:type="dxa" w:w="3249"/>
          </w:tcPr>
          <w:p>
            <w:r>
              <w:t>Företag/administratörer</w:t>
            </w:r>
          </w:p>
        </w:tc>
      </w:tr>
      <w:tr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AI-policy</w:t>
            </w:r>
          </w:p>
        </w:tc>
        <w:tc>
          <w:tcPr>
            <w:tcW w:type="dxa" w:w="3249"/>
          </w:tcPr>
          <w:p>
            <w:r>
              <w:t>Alla</w:t>
            </w:r>
          </w:p>
        </w:tc>
      </w:tr>
      <w:tr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Marketplace Disclaimer</w:t>
            </w:r>
          </w:p>
        </w:tc>
        <w:tc>
          <w:tcPr>
            <w:tcW w:type="dxa" w:w="3249"/>
          </w:tcPr>
          <w:p>
            <w:r>
              <w:t>Alla</w:t>
            </w:r>
          </w:p>
        </w:tc>
      </w:tr>
      <w:tr>
        <w:tc>
          <w:tcPr>
            <w:tcW w:type="dxa" w:w="3249"/>
          </w:tcPr>
          <w:p>
            <w:r>
              <w:t>9</w:t>
            </w:r>
          </w:p>
        </w:tc>
        <w:tc>
          <w:tcPr>
            <w:tcW w:type="dxa" w:w="3249"/>
          </w:tcPr>
          <w:p>
            <w:r>
              <w:t>Community Guidelines</w:t>
            </w:r>
          </w:p>
        </w:tc>
        <w:tc>
          <w:tcPr>
            <w:tcW w:type="dxa" w:w="3249"/>
          </w:tcPr>
          <w:p>
            <w:r>
              <w:t>Alla</w:t>
            </w:r>
          </w:p>
        </w:tc>
      </w:tr>
      <w:tr>
        <w:tc>
          <w:tcPr>
            <w:tcW w:type="dxa" w:w="3249"/>
          </w:tcPr>
          <w:p>
            <w:r>
              <w:t>10</w:t>
            </w:r>
          </w:p>
        </w:tc>
        <w:tc>
          <w:tcPr>
            <w:tcW w:type="dxa" w:w="3249"/>
          </w:tcPr>
          <w:p>
            <w:r>
              <w:t>Återbetalningspolicy</w:t>
            </w:r>
          </w:p>
        </w:tc>
        <w:tc>
          <w:tcPr>
            <w:tcW w:type="dxa" w:w="3249"/>
          </w:tcPr>
          <w:p>
            <w:r>
              <w:t>Privatpersoner/företag</w:t>
            </w:r>
          </w:p>
        </w:tc>
      </w:tr>
      <w:tr>
        <w:tc>
          <w:tcPr>
            <w:tcW w:type="dxa" w:w="3249"/>
          </w:tcPr>
          <w:p>
            <w:r>
              <w:t>11</w:t>
            </w:r>
          </w:p>
        </w:tc>
        <w:tc>
          <w:tcPr>
            <w:tcW w:type="dxa" w:w="3249"/>
          </w:tcPr>
          <w:p>
            <w:r>
              <w:t>Recensionspolicy</w:t>
            </w:r>
          </w:p>
        </w:tc>
        <w:tc>
          <w:tcPr>
            <w:tcW w:type="dxa" w:w="3249"/>
          </w:tcPr>
          <w:p>
            <w:r>
              <w:t>Alla</w:t>
            </w:r>
          </w:p>
        </w:tc>
      </w:tr>
      <w:tr>
        <w:tc>
          <w:tcPr>
            <w:tcW w:type="dxa" w:w="3249"/>
          </w:tcPr>
          <w:p>
            <w:r>
              <w:t>12</w:t>
            </w:r>
          </w:p>
        </w:tc>
        <w:tc>
          <w:tcPr>
            <w:tcW w:type="dxa" w:w="3249"/>
          </w:tcPr>
          <w:p>
            <w:r>
              <w:t>Notice &amp; Action Policy</w:t>
            </w:r>
          </w:p>
        </w:tc>
        <w:tc>
          <w:tcPr>
            <w:tcW w:type="dxa" w:w="3249"/>
          </w:tcPr>
          <w:p>
            <w:r>
              <w:t>Alla</w:t>
            </w:r>
          </w:p>
        </w:tc>
      </w:tr>
    </w:tbl>
    <w:p/>
    <w:p>
      <w:pPr>
        <w:pStyle w:val="Heading1"/>
      </w:pPr>
      <w:r>
        <w:t>Gemensamma antaganden</w:t>
      </w:r>
    </w:p>
    <w:p>
      <w:pPr>
        <w:pStyle w:val="ListBullet"/>
      </w:pPr>
      <w:r>
        <w:t>Sverige är första lanseringsmarknad.</w:t>
      </w:r>
    </w:p>
    <w:p>
      <w:pPr>
        <w:pStyle w:val="ListBullet"/>
      </w:pPr>
      <w:r>
        <w:t>Betalning sker normalt direkt mellan privatperson och företag.</w:t>
      </w:r>
    </w:p>
    <w:p>
      <w:pPr>
        <w:pStyle w:val="ListBullet"/>
      </w:pPr>
      <w:r>
        <w:t>TooDoo kan införa framtida betalningar i appen.</w:t>
      </w:r>
    </w:p>
    <w:p>
      <w:pPr>
        <w:pStyle w:val="ListBullet"/>
      </w:pPr>
      <w:r>
        <w:t>TooDoo tar provision endast vid Inlösen av kampanj enligt avtal.</w:t>
      </w:r>
    </w:p>
    <w:p>
      <w:pPr>
        <w:pStyle w:val="ListBullet"/>
      </w:pPr>
      <w:r>
        <w:t>Bokningar kan vara bindande.</w:t>
      </w:r>
    </w:p>
    <w:p>
      <w:pPr>
        <w:pStyle w:val="ListBullet"/>
      </w:pPr>
      <w:r>
        <w:t>Företag granskas innan publicering.</w:t>
      </w:r>
    </w:p>
    <w:p>
      <w:pPr>
        <w:pStyle w:val="ListBullet"/>
      </w:pPr>
      <w:r>
        <w:t>Recensioner finns.</w:t>
      </w:r>
    </w:p>
    <w:p>
      <w:pPr>
        <w:pStyle w:val="ListBullet"/>
      </w:pPr>
      <w:r>
        <w:t>AI används för rekommendationer, sök, texter, bilder, analys och moderering.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Läs mig först – Dokumentöversikt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