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TooDoo</w:t>
      </w:r>
    </w:p>
    <w:p>
      <w:pPr>
        <w:pStyle w:val="Title"/>
      </w:pPr>
      <w:r>
        <w:t>Cookiepolicy – Företagsportal</w:t>
      </w:r>
    </w:p>
    <w:p>
      <w:r>
        <w:t>Senast uppdaterad: [Datum]</w:t>
      </w:r>
    </w:p>
    <w:p>
      <w:r>
        <w:t>Version: 1.0</w:t>
      </w:r>
    </w:p>
    <w:p>
      <w:r>
        <w:rPr>
          <w:b/>
        </w:rPr>
        <w:t xml:space="preserve">Viktig notering: </w:t>
      </w:r>
      <w:r>
        <w:t>Detta dokument är ett utkast och bör granskas av jurist innan publicering. Anpassa alltid texten efter TooDoos faktiska funktioner, leverantörer, samtyckesflöden och affärsavtal.</w:t>
      </w:r>
    </w:p>
    <w:p>
      <w:r>
        <w:br w:type="page"/>
      </w:r>
    </w:p>
    <w:p>
      <w:pPr>
        <w:pStyle w:val="Heading1"/>
      </w:pPr>
      <w:r>
        <w:t>Inledning</w:t>
      </w:r>
    </w:p>
    <w:p>
      <w:r>
        <w:t>Denna cookiepolicy gäller TooDoos webbplats och företagsportal. Den beskriver hur cookies och liknande tekniker används för inloggning, säkerhet, analys, marknadsföring och portalens funktioner.</w:t>
      </w:r>
    </w:p>
    <w:p>
      <w:pPr>
        <w:pStyle w:val="Heading1"/>
      </w:pPr>
      <w:r>
        <w:t>Cookiekategorier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0"/>
          </w:tcPr>
          <w:p>
            <w:r>
              <w:rPr>
                <w:b/>
              </w:rPr>
              <w:t>Kategori</w:t>
            </w:r>
          </w:p>
        </w:tc>
        <w:tc>
          <w:tcPr>
            <w:tcW w:type="dxa" w:w="3249"/>
            <w:shd w:fill="D9EAF0"/>
          </w:tcPr>
          <w:p>
            <w:r>
              <w:rPr>
                <w:b/>
              </w:rPr>
              <w:t>Exempel på syfte</w:t>
            </w:r>
          </w:p>
        </w:tc>
        <w:tc>
          <w:tcPr>
            <w:tcW w:type="dxa" w:w="3249"/>
            <w:shd w:fill="D9EAF0"/>
          </w:tcPr>
          <w:p>
            <w:r>
              <w:rPr>
                <w:b/>
              </w:rPr>
              <w:t>Lagring</w:t>
            </w:r>
          </w:p>
        </w:tc>
      </w:tr>
      <w:tr>
        <w:tc>
          <w:tcPr>
            <w:tcW w:type="dxa" w:w="3249"/>
          </w:tcPr>
          <w:p>
            <w:r>
              <w:t>Nödvändiga</w:t>
            </w:r>
          </w:p>
        </w:tc>
        <w:tc>
          <w:tcPr>
            <w:tcW w:type="dxa" w:w="3249"/>
          </w:tcPr>
          <w:p>
            <w:r>
              <w:t>inloggning, säkerhet, sessionscookies, formulär</w:t>
            </w:r>
          </w:p>
        </w:tc>
        <w:tc>
          <w:tcPr>
            <w:tcW w:type="dxa" w:w="3249"/>
          </w:tcPr>
          <w:p>
            <w:r>
              <w:t>session eller begränsad tid</w:t>
            </w:r>
          </w:p>
        </w:tc>
      </w:tr>
      <w:tr>
        <w:tc>
          <w:tcPr>
            <w:tcW w:type="dxa" w:w="3249"/>
          </w:tcPr>
          <w:p>
            <w:r>
              <w:t>Funktionella</w:t>
            </w:r>
          </w:p>
        </w:tc>
        <w:tc>
          <w:tcPr>
            <w:tcW w:type="dxa" w:w="3249"/>
          </w:tcPr>
          <w:p>
            <w:r>
              <w:t>språk, vyer, filter och inställningar</w:t>
            </w:r>
          </w:p>
        </w:tc>
        <w:tc>
          <w:tcPr>
            <w:tcW w:type="dxa" w:w="3249"/>
          </w:tcPr>
          <w:p>
            <w:r>
              <w:t>upp till 12 månader</w:t>
            </w:r>
          </w:p>
        </w:tc>
      </w:tr>
      <w:tr>
        <w:tc>
          <w:tcPr>
            <w:tcW w:type="dxa" w:w="3249"/>
          </w:tcPr>
          <w:p>
            <w:r>
              <w:t>Analys</w:t>
            </w:r>
          </w:p>
        </w:tc>
        <w:tc>
          <w:tcPr>
            <w:tcW w:type="dxa" w:w="3249"/>
          </w:tcPr>
          <w:p>
            <w:r>
              <w:t>statistik, prestanda, felsökning</w:t>
            </w:r>
          </w:p>
        </w:tc>
        <w:tc>
          <w:tcPr>
            <w:tcW w:type="dxa" w:w="3249"/>
          </w:tcPr>
          <w:p>
            <w:r>
              <w:t>enligt leverantör och samtycke</w:t>
            </w:r>
          </w:p>
        </w:tc>
      </w:tr>
      <w:tr>
        <w:tc>
          <w:tcPr>
            <w:tcW w:type="dxa" w:w="3249"/>
          </w:tcPr>
          <w:p>
            <w:r>
              <w:t>Marknadsföring</w:t>
            </w:r>
          </w:p>
        </w:tc>
        <w:tc>
          <w:tcPr>
            <w:tcW w:type="dxa" w:w="3249"/>
          </w:tcPr>
          <w:p>
            <w:r>
              <w:t>kampanjmätning, remarketing, annonsrelevans</w:t>
            </w:r>
          </w:p>
        </w:tc>
        <w:tc>
          <w:tcPr>
            <w:tcW w:type="dxa" w:w="3249"/>
          </w:tcPr>
          <w:p>
            <w:r>
              <w:t>enligt leverantör och samtycke</w:t>
            </w:r>
          </w:p>
        </w:tc>
      </w:tr>
      <w:tr>
        <w:tc>
          <w:tcPr>
            <w:tcW w:type="dxa" w:w="3249"/>
          </w:tcPr>
          <w:p>
            <w:r>
              <w:t>Företagsanalys</w:t>
            </w:r>
          </w:p>
        </w:tc>
        <w:tc>
          <w:tcPr>
            <w:tcW w:type="dxa" w:w="3249"/>
          </w:tcPr>
          <w:p>
            <w:r>
              <w:t>kampanjresultat, inlösenstatistik, portaloptimering</w:t>
            </w:r>
          </w:p>
        </w:tc>
        <w:tc>
          <w:tcPr>
            <w:tcW w:type="dxa" w:w="3249"/>
          </w:tcPr>
          <w:p>
            <w:r>
              <w:t>avtal/berättigat intresse eller samtycke beroende på teknik</w:t>
            </w:r>
          </w:p>
        </w:tc>
      </w:tr>
    </w:tbl>
    <w:p/>
    <w:p>
      <w:pPr>
        <w:pStyle w:val="Heading1"/>
      </w:pPr>
      <w:r>
        <w:t>Samtycke</w:t>
      </w:r>
    </w:p>
    <w:p>
      <w:r>
        <w:t>Icke-nödvändiga cookies placeras först efter giltigt samtycke där lag kräver det. Det ska vara lika enkelt att neka som att acceptera och samtycket ska kunna återkallas.</w:t>
      </w:r>
    </w:p>
    <w:p>
      <w:pPr>
        <w:pStyle w:val="Heading1"/>
      </w:pPr>
      <w:r>
        <w:t>Cookiebanner</w:t>
      </w:r>
    </w:p>
    <w:p>
      <w:r>
        <w:t>Cookiebannern bör innehålla tydliga val för nödvändiga, funktionella, analys- och marknadsföringscookies samt en länk till denna policy och integritetspolicyn.</w:t>
      </w:r>
    </w:p>
    <w:p>
      <w:pPr>
        <w:pStyle w:val="Heading1"/>
      </w:pPr>
      <w:r>
        <w:t>Ändra inställningar</w:t>
      </w:r>
    </w:p>
    <w:p>
      <w:r>
        <w:t>Användare kan ändra cookieinställningar via cookiepanelen och även radera cookies i webbläsaren.</w:t>
      </w:r>
    </w:p>
    <w:p>
      <w:pPr>
        <w:pStyle w:val="Heading1"/>
      </w:pPr>
      <w:r>
        <w:t>Kontakt</w:t>
      </w:r>
    </w:p>
    <w:p>
      <w:r>
        <w:t>Juridiskt bolagsnamn: [Bolagsnamn]</w:t>
      </w:r>
    </w:p>
    <w:p>
      <w:r>
        <w:t>Organisationsnummer: [Organisationsnummer]</w:t>
      </w:r>
    </w:p>
    <w:p>
      <w:r>
        <w:t>Adress: [Adress]</w:t>
      </w:r>
    </w:p>
    <w:p>
      <w:r>
        <w:t>Support: [Supportadress]</w:t>
      </w:r>
    </w:p>
    <w:p>
      <w:r>
        <w:t>Integritetsfrågor/GDPR: [GDPR-adress]</w:t>
      </w:r>
    </w:p>
    <w:p>
      <w:r>
        <w:t>Företagssupport: [Företagssupport]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Cookiepolicy – Företagsportal | Version 1.0 | [Bolagsnamn]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TooDoo Legal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E6F7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