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TooDoo</w:t>
      </w:r>
    </w:p>
    <w:p>
      <w:pPr>
        <w:pStyle w:val="Title"/>
        <w:jc w:val="center"/>
      </w:pPr>
      <w:r>
        <w:t>Läs mig först – Dokumentöversikt</w:t>
      </w:r>
    </w:p>
    <w:p>
      <w:pPr>
        <w:jc w:val="center"/>
      </w:pPr>
      <w:r>
        <w:t>Senast uppdaterad: [Datum]</w:t>
        <w:br/>
        <w:t>Version: 2.0 – Launch Candidate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AF2F8"/>
            <w:vAlign w:val="center"/>
          </w:tcPr>
          <w:p>
            <w:r>
              <w:rPr>
                <w:b/>
              </w:rPr>
              <w:t xml:space="preserve">Publiceringsnotering: </w:t>
            </w:r>
            <w:r>
              <w:t>Före publicering måste samtliga uppgifter inom hakparenteser fyllas i och dokumenten stämmas av mot Plattformens slutliga funktioner, leverantörer och avtal. Versionen är framtagen som lanseringskandidat och bör slutgranskas av svensk jurist.</w:t>
            </w:r>
          </w:p>
        </w:tc>
      </w:tr>
    </w:tbl>
    <w:p/>
    <w:p>
      <w:pPr>
        <w:pStyle w:val="Heading1"/>
      </w:pPr>
      <w:r>
        <w:t>1. Status</w:t>
      </w:r>
    </w:p>
    <w:p>
      <w:r>
        <w:t>Detta paket är Version 2.0 – Launch Candidate för svensk lansering. Det bygger på följande fastställda förutsättningar: Plattformen lanseras endast i Sverige, Företagskunder är svenska aktörer och TooDoo tar inte emot eller förmedlar konsumentbetalningar.</w:t>
      </w:r>
    </w:p>
    <w:p>
      <w:r>
        <w:t>Paketet är sammanhängande men inte publiceringsklart förrän platshållarna och tekniska inventeringar har slutförts. En extern svensk jurist bör göra en slutlig kontroll av affärsmodell, faktisk funktionalitet, leverantörer, försäkring, skatter, DSA/P2B-tillämplighet och konsumentflöden.</w:t>
      </w:r>
    </w:p>
    <w:p>
      <w:pPr>
        <w:pStyle w:val="Heading1"/>
      </w:pPr>
      <w:r>
        <w:t>2. Uppgifter som återstår</w:t>
      </w:r>
    </w:p>
    <w:p>
      <w:pPr>
        <w:pStyle w:val="ListBullet"/>
      </w:pPr>
      <w:r>
        <w:t>[Bolagsnamn]</w:t>
      </w:r>
    </w:p>
    <w:p>
      <w:pPr>
        <w:pStyle w:val="ListBullet"/>
      </w:pPr>
      <w:r>
        <w:t>[Organisationsnummer]</w:t>
      </w:r>
    </w:p>
    <w:p>
      <w:pPr>
        <w:pStyle w:val="ListBullet"/>
      </w:pPr>
      <w:r>
        <w:t>[Adress]</w:t>
      </w:r>
    </w:p>
    <w:p>
      <w:pPr>
        <w:pStyle w:val="ListBullet"/>
      </w:pPr>
      <w:r>
        <w:t>[Supportadress]</w:t>
      </w:r>
    </w:p>
    <w:p>
      <w:pPr>
        <w:pStyle w:val="ListBullet"/>
      </w:pPr>
      <w:r>
        <w:t>[GDPR-adress]</w:t>
      </w:r>
    </w:p>
    <w:p>
      <w:pPr>
        <w:pStyle w:val="ListBullet"/>
      </w:pPr>
      <w:r>
        <w:t>[Företagssupport]</w:t>
      </w:r>
    </w:p>
    <w:p>
      <w:pPr>
        <w:pStyle w:val="ListBullet"/>
      </w:pPr>
      <w:r>
        <w:t>[DSA-kontaktpunkt]</w:t>
      </w:r>
    </w:p>
    <w:p>
      <w:pPr>
        <w:pStyle w:val="ListBullet"/>
      </w:pPr>
      <w:r>
        <w:t>[behörig tingsrätt] och vid tillämplighet [P2B-medlare 1–2]</w:t>
      </w:r>
    </w:p>
    <w:p>
      <w:pPr>
        <w:pStyle w:val="ListBullet"/>
      </w:pPr>
      <w:r>
        <w:t>faktisk cookie-/SDK-/leverantörsförteckning och anmälningsformulärets URL</w:t>
      </w:r>
    </w:p>
    <w:p>
      <w:pPr>
        <w:pStyle w:val="Heading1"/>
      </w:pPr>
      <w:r>
        <w:t>3. Gemensamma antaganden</w:t>
      </w:r>
    </w:p>
    <w:p>
      <w:pPr>
        <w:pStyle w:val="ListBullet"/>
      </w:pPr>
      <w:r>
        <w:t>Avtal om Aktivitet ingås mellan Användaren och Företaget.</w:t>
      </w:r>
    </w:p>
    <w:p>
      <w:pPr>
        <w:pStyle w:val="ListBullet"/>
      </w:pPr>
      <w:r>
        <w:t>Betalning sker direkt till Företaget; TooDoo hanterar inga konsumentmedel.</w:t>
      </w:r>
    </w:p>
    <w:p>
      <w:pPr>
        <w:pStyle w:val="ListBullet"/>
      </w:pPr>
      <w:r>
        <w:t>TooDoo kan ta avtalad provision eller avgift från Företag, exempelvis baserat på Inlösen.</w:t>
      </w:r>
    </w:p>
    <w:p>
      <w:pPr>
        <w:pStyle w:val="ListBullet"/>
      </w:pPr>
      <w:r>
        <w:t>Bokningar kan vara bindande och ångerrätt bedöms per Aktivitet.</w:t>
      </w:r>
    </w:p>
    <w:p>
      <w:pPr>
        <w:pStyle w:val="ListBullet"/>
      </w:pPr>
      <w:r>
        <w:t>Företag verifieras före publicering och ansvarar för sina uppgifter och sin prestation.</w:t>
      </w:r>
    </w:p>
    <w:p>
      <w:pPr>
        <w:pStyle w:val="ListBullet"/>
      </w:pPr>
      <w:r>
        <w:t>Recensioner, rekommendationer, ranking och AI-funktioner kan förekomma.</w:t>
      </w:r>
    </w:p>
    <w:p>
      <w:pPr>
        <w:pStyle w:val="ListBullet"/>
      </w:pPr>
      <w:r>
        <w:t>Plattformen riktar sig till svenska användare och svenska Företag vid lansering.</w:t>
      </w:r>
    </w:p>
    <w:p>
      <w:pPr>
        <w:pStyle w:val="Heading1"/>
      </w:pPr>
      <w:r>
        <w:t>4. Dokument i paketet</w:t>
      </w:r>
    </w:p>
    <w:p>
      <w:pPr>
        <w:pStyle w:val="ListNumber"/>
      </w:pPr>
      <w:r>
        <w:t>Användarvillkor – Privatpersoner</w:t>
      </w:r>
    </w:p>
    <w:p>
      <w:pPr>
        <w:pStyle w:val="ListNumber"/>
      </w:pPr>
      <w:r>
        <w:t>Användarvillkor – Företag</w:t>
      </w:r>
    </w:p>
    <w:p>
      <w:pPr>
        <w:pStyle w:val="ListNumber"/>
      </w:pPr>
      <w:r>
        <w:t>Integritetspolicy – Privatpersoner</w:t>
      </w:r>
    </w:p>
    <w:p>
      <w:pPr>
        <w:pStyle w:val="ListNumber"/>
      </w:pPr>
      <w:r>
        <w:t>Integritetspolicy – Företagsrepresentanter</w:t>
      </w:r>
    </w:p>
    <w:p>
      <w:pPr>
        <w:pStyle w:val="ListNumber"/>
      </w:pPr>
      <w:r>
        <w:t>Policy för cookies och liknande teknik – App</w:t>
      </w:r>
    </w:p>
    <w:p>
      <w:pPr>
        <w:pStyle w:val="ListNumber"/>
      </w:pPr>
      <w:r>
        <w:t>Cookiepolicy – Företagsportal</w:t>
      </w:r>
    </w:p>
    <w:p>
      <w:pPr>
        <w:pStyle w:val="ListNumber"/>
      </w:pPr>
      <w:r>
        <w:t>AI-policy</w:t>
      </w:r>
    </w:p>
    <w:p>
      <w:pPr>
        <w:pStyle w:val="ListNumber"/>
      </w:pPr>
      <w:r>
        <w:t>Ansvarsfriskrivning för marknadsplatsen</w:t>
      </w:r>
    </w:p>
    <w:p>
      <w:pPr>
        <w:pStyle w:val="ListNumber"/>
      </w:pPr>
      <w:r>
        <w:t>Riktlinjer för gemenskapen</w:t>
      </w:r>
    </w:p>
    <w:p>
      <w:pPr>
        <w:pStyle w:val="ListNumber"/>
      </w:pPr>
      <w:r>
        <w:t>Avboknings- och återbetalningspolicy</w:t>
      </w:r>
    </w:p>
    <w:p>
      <w:pPr>
        <w:pStyle w:val="ListNumber"/>
      </w:pPr>
      <w:r>
        <w:t>Recensionspolicy</w:t>
      </w:r>
    </w:p>
    <w:p>
      <w:pPr>
        <w:pStyle w:val="ListNumber"/>
      </w:pPr>
      <w:r>
        <w:t>Anmälnings- och åtgärdspolicy</w:t>
      </w:r>
    </w:p>
    <w:p>
      <w:pPr>
        <w:pStyle w:val="Heading1"/>
      </w:pPr>
      <w:r>
        <w:t>5. Publiceringschecklista</w:t>
      </w:r>
    </w:p>
    <w:p>
      <w:pPr>
        <w:pStyle w:val="ListBullet"/>
      </w:pPr>
      <w:r>
        <w:t>Fyll i alla platshållare och sök igenom samtliga dokument efter tecknet ”[”.</w:t>
      </w:r>
    </w:p>
    <w:p>
      <w:pPr>
        <w:pStyle w:val="ListBullet"/>
      </w:pPr>
      <w:r>
        <w:t>Verifiera att bokningsflödet visar Företagets identitet, totalpris, bindande beställningsknapp, villkor och information om ångerrätt före bokning.</w:t>
      </w:r>
    </w:p>
    <w:p>
      <w:pPr>
        <w:pStyle w:val="ListBullet"/>
      </w:pPr>
      <w:r>
        <w:t>Genomför DSA-verifiering av varje Företag och visa lagstadgade uppgifter.</w:t>
      </w:r>
    </w:p>
    <w:p>
      <w:pPr>
        <w:pStyle w:val="ListBullet"/>
      </w:pPr>
      <w:r>
        <w:t>Implementera notice-and-action-formulär, statement of reasons och intern omprövning.</w:t>
      </w:r>
    </w:p>
    <w:p>
      <w:pPr>
        <w:pStyle w:val="ListBullet"/>
      </w:pPr>
      <w:r>
        <w:t>Inventera cookies, SDK:er, AI-leverantörer och personuppgiftsbiträden.</w:t>
      </w:r>
    </w:p>
    <w:p>
      <w:pPr>
        <w:pStyle w:val="ListBullet"/>
      </w:pPr>
      <w:r>
        <w:t>Teckna nödvändiga personuppgifts- och leverantörsavtal.</w:t>
      </w:r>
    </w:p>
    <w:p>
      <w:pPr>
        <w:pStyle w:val="ListBullet"/>
      </w:pPr>
      <w:r>
        <w:t>Säkerställ att faktiska rankningsparametrar motsvarar villkoren.</w:t>
      </w:r>
    </w:p>
    <w:p>
      <w:pPr>
        <w:pStyle w:val="ListBullet"/>
      </w:pPr>
      <w:r>
        <w:t>Genomför extern juridisk slutgranskning före publicering.</w:t>
      </w:r>
    </w:p>
    <w:p>
      <w:pPr>
        <w:pStyle w:val="Heading1"/>
      </w:pPr>
      <w:r>
        <w:t>Kontakt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Juridiskt bolagsnamn</w:t>
            </w:r>
          </w:p>
        </w:tc>
        <w:tc>
          <w:tcPr>
            <w:tcW w:type="dxa" w:w="4844"/>
          </w:tcPr>
          <w:p>
            <w:r>
              <w:t>[Bolagsnamn]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Organisationsnummer</w:t>
            </w:r>
          </w:p>
        </w:tc>
        <w:tc>
          <w:tcPr>
            <w:tcW w:type="dxa" w:w="4844"/>
          </w:tcPr>
          <w:p>
            <w:r>
              <w:t>[Organisationsnummer]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Postadress</w:t>
            </w:r>
          </w:p>
        </w:tc>
        <w:tc>
          <w:tcPr>
            <w:tcW w:type="dxa" w:w="4844"/>
          </w:tcPr>
          <w:p>
            <w:r>
              <w:t>[Adress]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4844"/>
          </w:tcPr>
          <w:p>
            <w:r>
              <w:t>[Supportadress]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Integritetsfrågor/GDPR</w:t>
            </w:r>
          </w:p>
        </w:tc>
        <w:tc>
          <w:tcPr>
            <w:tcW w:type="dxa" w:w="4844"/>
          </w:tcPr>
          <w:p>
            <w:r>
              <w:t>[GDPR-adress]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Företagssupport</w:t>
            </w:r>
          </w:p>
        </w:tc>
        <w:tc>
          <w:tcPr>
            <w:tcW w:type="dxa" w:w="4844"/>
          </w:tcPr>
          <w:p>
            <w:r>
              <w:t>[Företagssupport]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DSA-kontaktpunkt</w:t>
            </w:r>
          </w:p>
        </w:tc>
        <w:tc>
          <w:tcPr>
            <w:tcW w:type="dxa" w:w="4844"/>
          </w:tcPr>
          <w:p>
            <w:r>
              <w:t>[DSA-kontaktpunkt]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TooDoo | 2.0 – Launch Candidate | Konfidentiell lanseringskandidat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Läs mig först – Dokumentöversikt</dc:title>
  <dc:subject>TooDoo Legal Pack Version 2.0 – Launch Candidate</dc:subject>
  <dc:creator>TooDoo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