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TooDoo</w:t>
      </w:r>
    </w:p>
    <w:p>
      <w:pPr>
        <w:pStyle w:val="Title"/>
        <w:jc w:val="center"/>
      </w:pPr>
      <w:r>
        <w:t>Användarvillkor – Företag</w:t>
      </w:r>
    </w:p>
    <w:p>
      <w:pPr>
        <w:jc w:val="center"/>
      </w:pPr>
      <w:r>
        <w:t>Senast uppdaterad: [Datum]</w:t>
        <w:br/>
        <w:t>Version: 2.0 – Launch Candidate</w:t>
      </w:r>
    </w:p>
    <w:tbl>
      <w:tblPr>
        <w:tblW w:type="auto" w:w="0"/>
        <w:jc w:val="center"/>
        <w:tblLayout w:type="autofit"/>
        <w:tblLook w:firstColumn="1" w:firstRow="1" w:lastColumn="0" w:lastRow="0" w:noHBand="0" w:noVBand="1" w:val="04A0"/>
      </w:tblPr>
      <w:tblGrid>
        <w:gridCol w:w="9688"/>
      </w:tblGrid>
      <w:tr>
        <w:tc>
          <w:tcPr>
            <w:tcW w:type="dxa" w:w="9688"/>
            <w:shd w:fill="EAF2F8"/>
            <w:vAlign w:val="center"/>
          </w:tcPr>
          <w:p>
            <w:r>
              <w:rPr>
                <w:b/>
              </w:rPr>
              <w:t xml:space="preserve">Publiceringsnotering: </w:t>
            </w:r>
            <w:r>
              <w:t>Före publicering måste samtliga uppgifter inom hakparenteser fyllas i och dokumenten stämmas av mot Plattformens slutliga funktioner, leverantörer och avtal. Versionen är framtagen som lanseringskandidat och bör slutgranskas av svensk jurist.</w:t>
            </w:r>
          </w:p>
        </w:tc>
      </w:tr>
    </w:tbl>
    <w:p/>
    <w:p>
      <w:pPr>
        <w:pStyle w:val="Heading1"/>
      </w:pPr>
      <w:r>
        <w:t>1. Om avtalet</w:t>
      </w:r>
    </w:p>
    <w:p>
      <w:r>
        <w:t>Dessa villkor gäller för svenska Företag som ansöker om eller använder TooDoos företagsportal. Villkoren kompletteras av eventuellt kampanjavtal, prislista, personuppgiftsavtal och andra uttryckligen accepterade bilagor.</w:t>
      </w:r>
    </w:p>
    <w:p>
      <w:pPr>
        <w:pStyle w:val="Heading1"/>
      </w:pPr>
      <w:r>
        <w:t>2. Definitioner</w:t>
      </w:r>
    </w:p>
    <w:p>
      <w:pPr>
        <w:pStyle w:val="ListBullet"/>
      </w:pPr>
      <w:r>
        <w:t>Plattformen: TooDoos mobilapp, webbplats, företagsportal och tillhörande digitala tjänster.</w:t>
      </w:r>
    </w:p>
    <w:p>
      <w:pPr>
        <w:pStyle w:val="ListBullet"/>
      </w:pPr>
      <w:r>
        <w:t>Användare: en privatperson som använder Plattformen utanför näringsverksamhet.</w:t>
      </w:r>
    </w:p>
    <w:p>
      <w:pPr>
        <w:pStyle w:val="ListBullet"/>
      </w:pPr>
      <w:r>
        <w:t>Företag: en svensk näringsidkare eller annan svensk organisation som har godkänts för att publicera Aktiviteter.</w:t>
      </w:r>
    </w:p>
    <w:p>
      <w:pPr>
        <w:pStyle w:val="ListBullet"/>
      </w:pPr>
      <w:r>
        <w:t>Aktivitet: en aktivitet, upplevelse, kampanj, ett evenemang eller en annan tjänst som ett Företag erbjuder via Plattformen.</w:t>
      </w:r>
    </w:p>
    <w:p>
      <w:pPr>
        <w:pStyle w:val="ListBullet"/>
      </w:pPr>
      <w:r>
        <w:t>Bokning: en reservation eller beställning av en Aktivitet som görs via Plattformen.</w:t>
      </w:r>
    </w:p>
    <w:p>
      <w:pPr>
        <w:pStyle w:val="ListBullet"/>
      </w:pPr>
      <w:r>
        <w:t>Inlösen: när ett erbjudande eller en kampanj nyttjas eller bekräftas enligt dess villkor.</w:t>
      </w:r>
    </w:p>
    <w:p>
      <w:pPr>
        <w:pStyle w:val="Heading1"/>
      </w:pPr>
      <w:r>
        <w:t>3. Företagsportalen och TooDoos roll</w:t>
      </w:r>
    </w:p>
    <w:p>
      <w:r>
        <w:t>TooDoo tillhandahåller en digital förmedlings- och marknadsplatstjänst. Företaget är säljare och avtalspart gentemot Användaren för varje Aktivitet. Företaget tar själv emot betalning och ansvarar för betalningsflöde, kvitto, skatt, återbetalning och reklamation.</w:t>
      </w:r>
    </w:p>
    <w:p>
      <w:r>
        <w:t>TooDoos godkännande av ett Företag eller en Aktivitet är inte en certifiering, garanti eller rekommendation av Företagets verksamhet.</w:t>
      </w:r>
    </w:p>
    <w:p>
      <w:pPr>
        <w:pStyle w:val="Heading1"/>
      </w:pPr>
      <w:r>
        <w:t>4. Behörighet och verifiering</w:t>
      </w:r>
    </w:p>
    <w:p>
      <w:r>
        <w:t>Den som registrerar Företaget intygar att denne är behörig att företräda Företaget.</w:t>
      </w:r>
    </w:p>
    <w:p>
      <w:r>
        <w:t>Innan publicering ska Företaget lämna och hålla uppdaterat: företagsnamn, geografisk adress, organisationsnummer, kontaktuppgifter, uppgifter om behörig företrädare och, när det behövs, registrerings- eller betalningsuppgifter. Företaget ska även på begäran lämna underlag som gör det möjligt för TooDoo att verifiera uppgifternas tillförlitlighet.</w:t>
      </w:r>
    </w:p>
    <w:p>
      <w:r>
        <w:t>TooDoo får kontrollera uppgifterna mot offentliga register eller tillförlitliga källor och pausa publicering tills verifiering har skett. De uppgifter som enligt lag ska visas för konsumenter visas i anslutning till Aktiviteten. Företaget ansvarar för att uppgifterna är korrekta och uppdaterade.</w:t>
      </w:r>
    </w:p>
    <w:p>
      <w:pPr>
        <w:pStyle w:val="Heading1"/>
      </w:pPr>
      <w:r>
        <w:t>5. Företagets ansvar</w:t>
      </w:r>
    </w:p>
    <w:p>
      <w:pPr>
        <w:pStyle w:val="ListBullet"/>
      </w:pPr>
      <w:r>
        <w:t>att alla priser, villkor, tider, platser, begränsningar och beskrivningar är korrekta och inte vilseledande</w:t>
      </w:r>
    </w:p>
    <w:p>
      <w:pPr>
        <w:pStyle w:val="ListBullet"/>
      </w:pPr>
      <w:r>
        <w:t>att Aktiviteten kan genomföras enligt publicerad information och med nödvändiga tillstånd, försäkringar, kompetenser och säkerhetsrutiner</w:t>
      </w:r>
    </w:p>
    <w:p>
      <w:pPr>
        <w:pStyle w:val="ListBullet"/>
      </w:pPr>
      <w:r>
        <w:t>att uppfylla konsumenträttslig informationsplikt, ångerrätt där den gäller, reklamationer, avbokningar och återbetalningar</w:t>
      </w:r>
    </w:p>
    <w:p>
      <w:pPr>
        <w:pStyle w:val="ListBullet"/>
      </w:pPr>
      <w:r>
        <w:t>att följa marknadsförings-, skatte-, bokförings-, arbetsmiljö-, tillgänglighets- och dataskyddsregler</w:t>
      </w:r>
    </w:p>
    <w:p>
      <w:pPr>
        <w:pStyle w:val="ListBullet"/>
      </w:pPr>
      <w:r>
        <w:t>att omedelbart rätta eller avpublicera information som inte längre är korrekt</w:t>
      </w:r>
    </w:p>
    <w:p>
      <w:pPr>
        <w:pStyle w:val="ListBullet"/>
      </w:pPr>
      <w:r>
        <w:t>att inte publicera olagliga, farliga, diskriminerande eller rättighetskränkande Aktiviteter eller material</w:t>
      </w:r>
    </w:p>
    <w:p>
      <w:pPr>
        <w:pStyle w:val="Heading1"/>
      </w:pPr>
      <w:r>
        <w:t>6. Publicering, immateriella rättigheter och licens</w:t>
      </w:r>
    </w:p>
    <w:p>
      <w:r>
        <w:t>Företaget behåller sina rättigheter till uppladdat material och garanterar att det har nödvändiga rättigheter och samtycken. Företaget ger TooDoo en icke-exklusiv, kostnadsfri, global och underlicensierbar rätt att lagra, visa, tekniskt bearbeta, distribuera och marknadsföra materialet för att tillhandahålla och marknadsföra Plattformen och Aktiviteten under avtalstiden.</w:t>
      </w:r>
    </w:p>
    <w:p>
      <w:r>
        <w:t>TooDoo får göra tekniska och redaktionella anpassningar som inte förändrar materialets sakliga innebörd. Sakliga ändringar av pris eller villkor kräver Företagets godkännande, utom när en omedelbar korrigering behövs för att följa lag eller undanröja tydlig risk.</w:t>
      </w:r>
    </w:p>
    <w:p>
      <w:pPr>
        <w:pStyle w:val="Heading1"/>
      </w:pPr>
      <w:r>
        <w:t>7. Kampanjer, provision och fakturering</w:t>
      </w:r>
    </w:p>
    <w:p>
      <w:r>
        <w:t>Eventuell provision eller annan avgift regleras i separat avtal eller prislista. Eftersom TooDoo inte tar emot Användarens betalning kan provision exempelvis baseras på registrerad Inlösen eller annan avtalad mätpunkt. Företaget ansvarar för korrekt registrering och får inte kringgå spårning eller rapportering.</w:t>
      </w:r>
    </w:p>
    <w:p>
      <w:r>
        <w:t>Fakturering, moms, betalningsfrist, dröjsmålsränta och invändningar mot faktura regleras i det kommersiella avtalet. Vid väsentligt betalningsdröjsmål får TooDoo, efter påminnelse, begränsa betalda funktioner eller publicering.</w:t>
      </w:r>
    </w:p>
    <w:p>
      <w:pPr>
        <w:pStyle w:val="Heading1"/>
      </w:pPr>
      <w:r>
        <w:t>8. Rankning och synlighet</w:t>
      </w:r>
    </w:p>
    <w:p>
      <w:r>
        <w:t>Huvudparametrarna för organisk rankning är normalt: (1) relevans i förhållande till sökning, kategori, plats och användarpreferenser, (2) tillgänglighet och aktualitet, (3) kvalitet och fullständighet i informationen, (4) popularitet, boknings- och inlösensignaler samt användarinteraktioner, (5) betyg och recensionssignaler, (6) Företagets svarsfrekvens och driftsäkerhet, samt (7) efterlevnad av regler och säkerhetssignaler.</w:t>
      </w:r>
    </w:p>
    <w:p>
      <w:r>
        <w:t>Parametrarnas relativa betydelse varierar beroende på vy och användarens sammanhang. Relevans, tillgänglighet och kvalitet har normalt störst betydelse. Betald eller kommersiellt påverkad exponering märks som sponsrad eller motsvarande. Företaget kan förbättra synlighet genom fullständig och korrekt information, god tillgänglighet, snabb hantering och hög faktisk kvalitet, men kan inte köpa bättre organisk ranking om detta inte tydligt anges som annonsering.</w:t>
      </w:r>
    </w:p>
    <w:p>
      <w:r>
        <w:t>TooDoo får justera rankningssystemet för kvalitet, säkerhet och användbarhet. Förändringar som väsentligt påverkar Företags möjligheter att nå Användare meddelas enligt avsnitt 14.</w:t>
      </w:r>
    </w:p>
    <w:p>
      <w:pPr>
        <w:pStyle w:val="Heading1"/>
      </w:pPr>
      <w:r>
        <w:t>9. Dataåtkomst</w:t>
      </w:r>
    </w:p>
    <w:p>
      <w:r>
        <w:t>Företaget får under avtalstiden tillgång till de boknings-, inlösen- och resultatdata som visas i portalen och som behövs för att fullgöra avtalet med Användaren. Företaget får inte tillgång till andra Företags data eller TooDoos företagshemligheter.</w:t>
      </w:r>
    </w:p>
    <w:p>
      <w:r>
        <w:t>Efter avtalets slut kan åtkomst upphöra. Företaget bör före avslut exportera data som portalen gör tillgängliga. TooDoo får behålla data som krävs enligt lag, för säkerhet, tvister eller aggregerad statistik. Personuppgifter får endast användas för angivna och lagliga ändamål.</w:t>
      </w:r>
    </w:p>
    <w:p>
      <w:pPr>
        <w:pStyle w:val="Heading1"/>
      </w:pPr>
      <w:r>
        <w:t>10. Recensioner och kommunikation</w:t>
      </w:r>
    </w:p>
    <w:p>
      <w:r>
        <w:t>Företaget får inte köpa, fabricera, selektivt styra eller på annat sätt manipulera recensioner. Svar ska vara sakliga och får inte röja personuppgifter eller innehålla hot. Kommunikation med Användare får endast avse bokningen, kundservice eller annan behandling med giltig rättslig grund.</w:t>
      </w:r>
    </w:p>
    <w:p>
      <w:pPr>
        <w:pStyle w:val="Heading1"/>
      </w:pPr>
      <w:r>
        <w:t>11. AI-funktioner</w:t>
      </w:r>
    </w:p>
    <w:p>
      <w:r>
        <w:t>AI-stöd kan lämna förslag till text, bild eller analys. Företaget ansvarar alltid för mänsklig granskning före publicering och för riktighet, laglighet, immateriella rättigheter och nödvändig märkning. Känsliga personuppgifter, företagshemligheter eller obehörigt tredjepartsmaterial får inte matas in i AI-funktioner.</w:t>
      </w:r>
    </w:p>
    <w:p>
      <w:pPr>
        <w:pStyle w:val="Heading1"/>
      </w:pPr>
      <w:r>
        <w:t>12. Moderering, begränsning och avstängning</w:t>
      </w:r>
    </w:p>
    <w:p>
      <w:r>
        <w:t>TooDoo får begränsa synlighet, pausa eller avpublicera en Aktivitet, begränsa funktioner eller stänga av ett konto när detta är proportionerligt på grund av misstänkt olaglighet, säkerhetsrisk, vilseledande information, avtalsbrott, utebliven verifiering eller upprepad bristande prestation.</w:t>
      </w:r>
    </w:p>
    <w:p>
      <w:r>
        <w:t>TooDoo lämnar, i den utsträckning lag medger och kräver, en tydlig och specifik motivering som anger de huvudsakliga omständigheterna och den rättsliga eller avtalsmässiga grunden. Företaget informeras om hur beslutet kan begäras omprövat. Vid omedelbar risk, lagkrav eller bedrägerimisstanke får åtgärden vidtas utan föregående varning.</w:t>
      </w:r>
    </w:p>
    <w:p>
      <w:pPr>
        <w:pStyle w:val="Heading1"/>
      </w:pPr>
      <w:r>
        <w:t>13. Intern klagomålshantering och medling</w:t>
      </w:r>
    </w:p>
    <w:p>
      <w:r>
        <w:t>Företaget kan kostnadsfritt begära intern omprövning enligt Anmälnings- och åtgärdspolicyn. När P2B-förordningen kräver det anger TooDoo i den slutliga publiceringsversionen de medlare som TooDoo är villigt att anlita för att försöka nå en uppgörelse utanför domstol: [P2B-medlare 1] och [P2B-medlare 2]. Denna platshållare måste fyllas i före publicering om skyldigheten är tillämplig.</w:t>
      </w:r>
    </w:p>
    <w:p>
      <w:pPr>
        <w:pStyle w:val="Heading1"/>
      </w:pPr>
      <w:r>
        <w:t>14. Ändringar av villkoren</w:t>
      </w:r>
    </w:p>
    <w:p>
      <w:r>
        <w:t>Väsentliga ändringar meddelas på ett varaktigt medium minst 15 dagar innan de träder i kraft. Längre varsel lämnas när Företaget skäligen behöver tekniska eller kommersiella anpassningar. Kortare eller inget varsel kan användas när TooDoo måste följa en rättslig skyldighet eller hantera en oförutsedd och omedelbar risk för bedrägeri, skadlig kod, spam, dataintrång eller cybersäkerhet.</w:t>
      </w:r>
    </w:p>
    <w:p>
      <w:r>
        <w:t>Fortsatt användning efter ikraftträdandet innebär godkännande när detta är rättsligt tillåtet. Företaget har rätt att säga upp avtalet före ändringens ikraftträdande.</w:t>
      </w:r>
    </w:p>
    <w:p>
      <w:pPr>
        <w:pStyle w:val="Heading1"/>
      </w:pPr>
      <w:r>
        <w:t>15. Avtalstid och uppsägning</w:t>
      </w:r>
    </w:p>
    <w:p>
      <w:r>
        <w:t>Företaget kan säga upp avtalet enligt den uppsägningstid som anges i separat kommersiellt avtal. TooDoo kan säga upp avtalet med minst 30 dagars skriftligt varsel och motivering, om inte omedelbar uppsägning är tillåten på grund av lagkrav, upprepat avtalsbrott, allvarlig säkerhetsrisk eller annan grund enligt P2B-förordningen och tillämplig lag.</w:t>
      </w:r>
    </w:p>
    <w:p>
      <w:pPr>
        <w:pStyle w:val="Heading1"/>
      </w:pPr>
      <w:r>
        <w:t>16. Dataskydd och sekretess</w:t>
      </w:r>
    </w:p>
    <w:p>
      <w:r>
        <w:t>Parterna är normalt självständigt personuppgiftsansvariga för sina egna ändamål. Om en part behandlar personuppgifter enbart för den andra partens räkning ska ett separat personuppgiftsbiträdesavtal ingås innan behandlingen börjar. Eventuell gemensam personuppgiftsansvarighet regleras skriftligen.</w:t>
      </w:r>
    </w:p>
    <w:p>
      <w:r>
        <w:t>Företaget ska skydda konfidentiell information och användaruppgifter samt endast ge behörig personal åtkomst.</w:t>
      </w:r>
    </w:p>
    <w:p>
      <w:pPr>
        <w:pStyle w:val="Heading1"/>
      </w:pPr>
      <w:r>
        <w:t>17. Ansvar och skadeslöshet</w:t>
      </w:r>
    </w:p>
    <w:p>
      <w:r>
        <w:t>Part ansvarar för direkt skada som orsakas genom avtalsbrott, vårdslöshet eller lagbrott. Ingen part ansvarar för indirekt skada, utebliven vinst, förlust av goodwill eller följdskada, utom vid uppsåt, grov vårdslöshet, brott mot sekretess eller dataskydd, immaterialrättsintrång eller när begränsning inte är tillåten enligt lag.</w:t>
      </w:r>
    </w:p>
    <w:p>
      <w:r>
        <w:t>TooDoos sammanlagda ansvar under en tolvmånadersperiod är begränsat till de avgifter som Företaget betalat eller ska betala till TooDoo under samma period. Begränsningen gäller inte ansvar som inte får begränsas enligt lag.</w:t>
      </w:r>
    </w:p>
    <w:p>
      <w:r>
        <w:t>Företaget ska hålla TooDoo skadeslöst för tredjemanskrav som beror på Aktiviteten, Företagets material, konsumentavtalet eller Företagets lag- eller avtalsbrott, i den mån kravet inte orsakats av TooDoo.</w:t>
      </w:r>
    </w:p>
    <w:p>
      <w:pPr>
        <w:pStyle w:val="Heading1"/>
      </w:pPr>
      <w:r>
        <w:t>18. Lag och tvist</w:t>
      </w:r>
    </w:p>
    <w:p>
      <w:r>
        <w:t>Svensk lag gäller. Tvist ska i första hand lösas genom förhandling och, när tillämpligt, medling. Om lösning inte nås avgörs tvisten av svensk allmän domstol med [behörig tingsrätt] som första instans. Platshållaren ska fyllas i före publicering.</w:t>
      </w:r>
    </w:p>
    <w:p>
      <w:pPr>
        <w:pStyle w:val="Heading1"/>
      </w:pPr>
      <w:r>
        <w:t>Kontakt</w:t>
      </w:r>
    </w:p>
    <w:tbl>
      <w:tblPr>
        <w:tblStyle w:val="TableGrid"/>
        <w:tblW w:type="auto" w:w="0"/>
        <w:jc w:val="left"/>
        <w:tblLook w:firstColumn="1" w:firstRow="1" w:lastColumn="0" w:lastRow="0" w:noHBand="0" w:noVBand="1" w:val="04A0"/>
      </w:tblPr>
      <w:tblGrid>
        <w:gridCol w:w="4844"/>
        <w:gridCol w:w="4844"/>
      </w:tblGrid>
      <w:tr>
        <w:tc>
          <w:tcPr>
            <w:tcW w:type="dxa" w:w="4844"/>
          </w:tcPr>
          <w:p>
            <w:r>
              <w:rPr>
                <w:b/>
              </w:rPr>
              <w:t>Juridiskt bolagsnamn</w:t>
            </w:r>
          </w:p>
        </w:tc>
        <w:tc>
          <w:tcPr>
            <w:tcW w:type="dxa" w:w="4844"/>
          </w:tcPr>
          <w:p>
            <w:r>
              <w:t>[Bolagsnamn]</w:t>
            </w:r>
          </w:p>
        </w:tc>
      </w:tr>
      <w:tr>
        <w:tc>
          <w:tcPr>
            <w:tcW w:type="dxa" w:w="4844"/>
          </w:tcPr>
          <w:p>
            <w:r>
              <w:rPr>
                <w:b/>
              </w:rPr>
              <w:t>Organisationsnummer</w:t>
            </w:r>
          </w:p>
        </w:tc>
        <w:tc>
          <w:tcPr>
            <w:tcW w:type="dxa" w:w="4844"/>
          </w:tcPr>
          <w:p>
            <w:r>
              <w:t>[Organisationsnummer]</w:t>
            </w:r>
          </w:p>
        </w:tc>
      </w:tr>
      <w:tr>
        <w:tc>
          <w:tcPr>
            <w:tcW w:type="dxa" w:w="4844"/>
          </w:tcPr>
          <w:p>
            <w:r>
              <w:rPr>
                <w:b/>
              </w:rPr>
              <w:t>Postadress</w:t>
            </w:r>
          </w:p>
        </w:tc>
        <w:tc>
          <w:tcPr>
            <w:tcW w:type="dxa" w:w="4844"/>
          </w:tcPr>
          <w:p>
            <w:r>
              <w:t>[Adress]</w:t>
            </w:r>
          </w:p>
        </w:tc>
      </w:tr>
      <w:tr>
        <w:tc>
          <w:tcPr>
            <w:tcW w:type="dxa" w:w="4844"/>
          </w:tcPr>
          <w:p>
            <w:r>
              <w:rPr>
                <w:b/>
              </w:rPr>
              <w:t>Support</w:t>
            </w:r>
          </w:p>
        </w:tc>
        <w:tc>
          <w:tcPr>
            <w:tcW w:type="dxa" w:w="4844"/>
          </w:tcPr>
          <w:p>
            <w:r>
              <w:t>[Supportadress]</w:t>
            </w:r>
          </w:p>
        </w:tc>
      </w:tr>
      <w:tr>
        <w:tc>
          <w:tcPr>
            <w:tcW w:type="dxa" w:w="4844"/>
          </w:tcPr>
          <w:p>
            <w:r>
              <w:rPr>
                <w:b/>
              </w:rPr>
              <w:t>Integritetsfrågor/GDPR</w:t>
            </w:r>
          </w:p>
        </w:tc>
        <w:tc>
          <w:tcPr>
            <w:tcW w:type="dxa" w:w="4844"/>
          </w:tcPr>
          <w:p>
            <w:r>
              <w:t>[GDPR-adress]</w:t>
            </w:r>
          </w:p>
        </w:tc>
      </w:tr>
      <w:tr>
        <w:tc>
          <w:tcPr>
            <w:tcW w:type="dxa" w:w="4844"/>
          </w:tcPr>
          <w:p>
            <w:r>
              <w:rPr>
                <w:b/>
              </w:rPr>
              <w:t>Företagssupport</w:t>
            </w:r>
          </w:p>
        </w:tc>
        <w:tc>
          <w:tcPr>
            <w:tcW w:type="dxa" w:w="4844"/>
          </w:tcPr>
          <w:p>
            <w:r>
              <w:t>[Företagssupport]</w:t>
            </w:r>
          </w:p>
        </w:tc>
      </w:tr>
      <w:tr>
        <w:tc>
          <w:tcPr>
            <w:tcW w:type="dxa" w:w="4844"/>
          </w:tcPr>
          <w:p>
            <w:r>
              <w:rPr>
                <w:b/>
              </w:rPr>
              <w:t>DSA-kontaktpunkt</w:t>
            </w:r>
          </w:p>
        </w:tc>
        <w:tc>
          <w:tcPr>
            <w:tcW w:type="dxa" w:w="4844"/>
          </w:tcPr>
          <w:p>
            <w:r>
              <w:t>[DSA-kontaktpunkt]</w:t>
            </w:r>
          </w:p>
        </w:tc>
      </w:tr>
    </w:tbl>
    <w:sectPr w:rsidR="00FC693F" w:rsidRPr="0006063C" w:rsidSect="00034616">
      <w:footerReference w:type="default" r:id="rId9"/>
      <w:pgSz w:w="12240" w:h="15840"/>
      <w:pgMar w:top="1134" w:right="1276" w:bottom="1134"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TooDoo | 2.0 – Launch Candidate | Konfidentiell lanseringskandidat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Användarvillkor – Företag</dc:title>
  <dc:subject>TooDoo Legal Pack Version 2.0 – Launch Candidate</dc:subject>
  <dc:creator>TooDoo</dc:creator>
  <cp:keywords/>
  <dc:description>generated by python-docx</dc:description>
  <cp:lastModifiedBy/>
  <cp:revision>1</cp:revision>
  <dcterms:created xsi:type="dcterms:W3CDTF">2013-12-23T23:15:00Z</dcterms:created>
  <dcterms:modified xsi:type="dcterms:W3CDTF">2013-12-23T23:15:00Z</dcterms:modified>
  <cp:category/>
</cp:coreProperties>
</file>