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TooDoo</w:t>
      </w:r>
    </w:p>
    <w:p>
      <w:pPr>
        <w:pStyle w:val="Title"/>
        <w:jc w:val="center"/>
      </w:pPr>
      <w:r>
        <w:t>Integritetspolicy – Privatpersoner</w:t>
      </w:r>
    </w:p>
    <w:p>
      <w:pPr>
        <w:jc w:val="center"/>
      </w:pPr>
      <w:r>
        <w:t>Senast uppdaterad: [Datum]</w:t>
        <w:br/>
        <w:t>Version: 2.0 – Launch Candidate</w:t>
      </w:r>
    </w:p>
    <w:tbl>
      <w:tblPr>
        <w:tblW w:type="auto" w:w="0"/>
        <w:jc w:val="center"/>
        <w:tblLayout w:type="autofit"/>
        <w:tblLook w:firstColumn="1" w:firstRow="1" w:lastColumn="0" w:lastRow="0" w:noHBand="0" w:noVBand="1" w:val="04A0"/>
      </w:tblPr>
      <w:tblGrid>
        <w:gridCol w:w="9688"/>
      </w:tblGrid>
      <w:tr>
        <w:tc>
          <w:tcPr>
            <w:tcW w:type="dxa" w:w="9688"/>
            <w:shd w:fill="EAF2F8"/>
            <w:vAlign w:val="center"/>
          </w:tcPr>
          <w:p>
            <w:r>
              <w:rPr>
                <w:b/>
              </w:rPr>
              <w:t xml:space="preserve">Publiceringsnotering: </w:t>
            </w:r>
            <w:r>
              <w:t>Före publicering måste samtliga uppgifter inom hakparenteser fyllas i och dokumenten stämmas av mot Plattformens slutliga funktioner, leverantörer och avtal. Versionen är framtagen som lanseringskandidat och bör slutgranskas av svensk jurist.</w:t>
            </w:r>
          </w:p>
        </w:tc>
      </w:tr>
    </w:tbl>
    <w:p/>
    <w:p>
      <w:pPr>
        <w:pStyle w:val="Heading1"/>
      </w:pPr>
      <w:r>
        <w:t>1. Om policyn</w:t>
      </w:r>
    </w:p>
    <w:p>
      <w:r>
        <w:t>Policyn beskriver hur [Bolagsnamn], org.nr [Organisationsnummer], behandlar personuppgifter om privatpersoner som använder Plattformen. Policyn ska läsas tillsammans med cookiepolicyn och användarvillkoren.</w:t>
      </w:r>
    </w:p>
    <w:p>
      <w:pPr>
        <w:pStyle w:val="Heading1"/>
      </w:pPr>
      <w:r>
        <w:t>2. Personuppgiftsansvarig</w:t>
      </w:r>
    </w:p>
    <w:p>
      <w:r>
        <w:t>[Bolagsnamn], org.nr [Organisationsnummer], [Adress], är personuppgiftsansvarig för de behandlingar som beskrivs här. Integritetsfrågor skickas till [GDPR-adress].</w:t>
      </w:r>
    </w:p>
    <w:p>
      <w:pPr>
        <w:pStyle w:val="Heading1"/>
      </w:pPr>
      <w:r>
        <w:t>3. Uppgifter vi behandlar</w:t>
      </w:r>
    </w:p>
    <w:p>
      <w:pPr>
        <w:pStyle w:val="ListBullet"/>
      </w:pPr>
      <w:r>
        <w:t>konto- och kontaktuppgifter, exempelvis namn, e-postadress, telefonnummer och inloggningsuppgifter</w:t>
      </w:r>
    </w:p>
    <w:p>
      <w:pPr>
        <w:pStyle w:val="ListBullet"/>
      </w:pPr>
      <w:r>
        <w:t>profiluppgifter, preferenser och valda intressen</w:t>
      </w:r>
    </w:p>
    <w:p>
      <w:pPr>
        <w:pStyle w:val="ListBullet"/>
      </w:pPr>
      <w:r>
        <w:t>boknings-, inlösen- och aktivitetsuppgifter; TooDoo behandlar inte betalningskortsuppgifter eftersom betalning sker direkt till Företaget</w:t>
      </w:r>
    </w:p>
    <w:p>
      <w:pPr>
        <w:pStyle w:val="ListBullet"/>
      </w:pPr>
      <w:r>
        <w:t>kommunikation med support, rapporter, klagomål och recensioner</w:t>
      </w:r>
    </w:p>
    <w:p>
      <w:pPr>
        <w:pStyle w:val="ListBullet"/>
      </w:pPr>
      <w:r>
        <w:t>tekniska uppgifter, exempelvis IP-adress, enhetsuppgifter, loggar, sessions- och säkerhetsdata</w:t>
      </w:r>
    </w:p>
    <w:p>
      <w:pPr>
        <w:pStyle w:val="ListBullet"/>
      </w:pPr>
      <w:r>
        <w:t>platsuppgifter när du har aktiverat platsbehörighet</w:t>
      </w:r>
    </w:p>
    <w:p>
      <w:pPr>
        <w:pStyle w:val="ListBullet"/>
      </w:pPr>
      <w:r>
        <w:t>användnings-, sök-, klick- och rekommendationsdata</w:t>
      </w:r>
    </w:p>
    <w:p>
      <w:pPr>
        <w:pStyle w:val="ListBullet"/>
      </w:pPr>
      <w:r>
        <w:t>uppgifter som krävs för att förebygga missbruk och uppfylla rättsliga skyldigheter</w:t>
      </w:r>
    </w:p>
    <w:p>
      <w:pPr>
        <w:pStyle w:val="Heading1"/>
      </w:pPr>
      <w:r>
        <w:t>4. Ändamål och rättsliga grunder</w:t>
      </w:r>
    </w:p>
    <w:p>
      <w:pPr>
        <w:pStyle w:val="ListBullet"/>
      </w:pPr>
      <w:r>
        <w:t>Tillhandahålla konto, sök, bokning, Inlösen och support – fullgörande av avtal.</w:t>
      </w:r>
    </w:p>
    <w:p>
      <w:pPr>
        <w:pStyle w:val="ListBullet"/>
      </w:pPr>
      <w:r>
        <w:t>Överföra nödvändiga bokningsuppgifter till valt Företag – fullgörande av avtal och berättigat intresse av att möjliggöra bokningen.</w:t>
      </w:r>
    </w:p>
    <w:p>
      <w:pPr>
        <w:pStyle w:val="ListBullet"/>
      </w:pPr>
      <w:r>
        <w:t>Säkerhet, bedrägeriförebyggande, felsökning och rättsliga anspråk – berättigat intresse och, när relevant, rättslig skyldighet.</w:t>
      </w:r>
    </w:p>
    <w:p>
      <w:pPr>
        <w:pStyle w:val="ListBullet"/>
      </w:pPr>
      <w:r>
        <w:t>Förbättring, statistik och produktanalys – berättigat intresse; icke-nödvändig spårning används endast efter samtycke när lag kräver det.</w:t>
      </w:r>
    </w:p>
    <w:p>
      <w:pPr>
        <w:pStyle w:val="ListBullet"/>
      </w:pPr>
      <w:r>
        <w:t>Personliga rekommendationer – berättigat intresse eller samtycke beroende på datakälla och teknik.</w:t>
      </w:r>
    </w:p>
    <w:p>
      <w:pPr>
        <w:pStyle w:val="ListBullet"/>
      </w:pPr>
      <w:r>
        <w:t>Direktmarknadsföring – samtycke eller berättigat intresse när tillåtet; du kan alltid invända.</w:t>
      </w:r>
    </w:p>
    <w:p>
      <w:pPr>
        <w:pStyle w:val="ListBullet"/>
      </w:pPr>
      <w:r>
        <w:t>Efterlevnad av lag, myndighetsbeslut och dokumentationskrav – rättslig skyldighet.</w:t>
      </w:r>
    </w:p>
    <w:p>
      <w:pPr>
        <w:pStyle w:val="Heading1"/>
      </w:pPr>
      <w:r>
        <w:t>5. Bokningar och Företagets roll</w:t>
      </w:r>
    </w:p>
    <w:p>
      <w:r>
        <w:t>När du väljer eller bokar en Aktivitet lämnas de uppgifter som är nödvändiga för bokningen till det berörda Företaget. Företaget agerar som självständigt personuppgiftsansvarig för sin egen hantering efter överföringen, exempelvis för genomförande, kundservice, reklamation och lagstadgad dokumentation. Företagets egen integritetsinformation gäller för den behandlingen.</w:t>
      </w:r>
    </w:p>
    <w:p>
      <w:pPr>
        <w:pStyle w:val="Heading1"/>
      </w:pPr>
      <w:r>
        <w:t>6. AI, profilering och automatiserade system</w:t>
      </w:r>
    </w:p>
    <w:p>
      <w:r>
        <w:t>TooDoo kan använda AI och profilering för rekommendationer, ranking, sök, innehållsstöd, moderering, support och säkerhet. Faktorer kan omfatta sökning, plats, intressen, tidigare interaktioner och tillgänglighet. TooDoo fattar inte beslut som enbart grundas på automatiserad behandling och som har rättsliga eller liknande betydande konsekvenser för dig, om inte särskilda rättsliga krav och skyddsåtgärder är uppfyllda.</w:t>
      </w:r>
    </w:p>
    <w:p>
      <w:r>
        <w:t>Du kan påverka personalisering genom appens inställningar och kan kontakta TooDoo för information eller invändning när behandlingen grundas på berättigat intresse.</w:t>
      </w:r>
    </w:p>
    <w:p>
      <w:pPr>
        <w:pStyle w:val="Heading1"/>
      </w:pPr>
      <w:r>
        <w:t>7. Barn</w:t>
      </w:r>
    </w:p>
    <w:p>
      <w:r>
        <w:t>Plattformen är i första hand avsedd för personer som kan ingå avtal. TooDoo behandlar inte medvetet personuppgifter om barn under 13 år med stöd av barnets eget samtycke till en informationssamhällets tjänst. När samtycke krävs för ett barn under 13 år ska det lämnas eller godkännas av vårdnadshavare och TooDoo ska göra rimliga ansträngningar för att kontrollera detta.</w:t>
      </w:r>
    </w:p>
    <w:p>
      <w:r>
        <w:t>Åldersregeln gäller endast samtycke som rättslig grund. För bokning och avtal gäller reglerna i användarvillkoren. Kontakta [GDPR-adress] om du tror att uppgifter om ett barn behandlas felaktigt.</w:t>
      </w:r>
    </w:p>
    <w:p>
      <w:pPr>
        <w:pStyle w:val="Heading1"/>
      </w:pPr>
      <w:r>
        <w:t>8. Mottagare</w:t>
      </w:r>
    </w:p>
    <w:p>
      <w:pPr>
        <w:pStyle w:val="ListBullet"/>
      </w:pPr>
      <w:r>
        <w:t>det Företag som tillhandahåller den valda Aktiviteten</w:t>
      </w:r>
    </w:p>
    <w:p>
      <w:pPr>
        <w:pStyle w:val="ListBullet"/>
      </w:pPr>
      <w:r>
        <w:t>leverantörer av drift, molntjänster, autentisering, support, kommunikation, analys och säkerhet som agerar enligt avtal</w:t>
      </w:r>
    </w:p>
    <w:p>
      <w:pPr>
        <w:pStyle w:val="ListBullet"/>
      </w:pPr>
      <w:r>
        <w:t>professionella rådgivare, koncernbolag eller köpare vid en företagsöverlåtelse, med lämplig sekretess</w:t>
      </w:r>
    </w:p>
    <w:p>
      <w:pPr>
        <w:pStyle w:val="ListBullet"/>
      </w:pPr>
      <w:r>
        <w:t>myndigheter, domstolar eller andra när det krävs enligt lag eller för att skydda rättigheter och säkerhet</w:t>
      </w:r>
    </w:p>
    <w:p>
      <w:pPr>
        <w:pStyle w:val="Heading1"/>
      </w:pPr>
      <w:r>
        <w:t>9. Överföring utanför EU/EES</w:t>
      </w:r>
    </w:p>
    <w:p>
      <w:r>
        <w:t>Om en leverantör behandlar uppgifter utanför EU/EES används en giltig överföringsmekanism, exempelvis beslut om adekvat skyddsnivå eller EU-kommissionens standardavtalsklausuler, tillsammans med kompletterande skyddsåtgärder när det behövs. Den slutliga leverantörslistan ska publiceras eller göras tillgänglig före lansering.</w:t>
      </w:r>
    </w:p>
    <w:p>
      <w:pPr>
        <w:pStyle w:val="Heading1"/>
      </w:pPr>
      <w:r>
        <w:t>10. Lagringstider</w:t>
      </w:r>
    </w:p>
    <w:p>
      <w:pPr>
        <w:pStyle w:val="ListBullet"/>
      </w:pPr>
      <w:r>
        <w:t>kontouppgifter: under kontotiden och därefter normalt högst 12 månader, om inte längre lagring krävs</w:t>
      </w:r>
    </w:p>
    <w:p>
      <w:pPr>
        <w:pStyle w:val="ListBullet"/>
      </w:pPr>
      <w:r>
        <w:t>boknings- och inlösenhistorik: normalt upp till 3 år efter Aktiviteten för support och rättsliga anspråk; uppgifter som omfattas av lagkrav sparas längre</w:t>
      </w:r>
    </w:p>
    <w:p>
      <w:pPr>
        <w:pStyle w:val="ListBullet"/>
      </w:pPr>
      <w:r>
        <w:t>support och klagomål: normalt 3 år efter avslutat ärende</w:t>
      </w:r>
    </w:p>
    <w:p>
      <w:pPr>
        <w:pStyle w:val="ListBullet"/>
      </w:pPr>
      <w:r>
        <w:t>säkerhetsloggar: normalt 3–12 månader beroende på risk och behov</w:t>
      </w:r>
    </w:p>
    <w:p>
      <w:pPr>
        <w:pStyle w:val="ListBullet"/>
      </w:pPr>
      <w:r>
        <w:t>samtyckesbevis: så länge samtycket används och därefter så länge det behövs för att visa efterlevnad</w:t>
      </w:r>
    </w:p>
    <w:p>
      <w:pPr>
        <w:pStyle w:val="ListBullet"/>
      </w:pPr>
      <w:r>
        <w:t>material för rättsliga anspråk: till dess att tillämplig preskriptionstid löpt ut</w:t>
      </w:r>
    </w:p>
    <w:p>
      <w:pPr>
        <w:pStyle w:val="Heading1"/>
      </w:pPr>
      <w:r>
        <w:t>11. Dina rättigheter</w:t>
      </w:r>
    </w:p>
    <w:p>
      <w:r>
        <w:t>Du kan begära tillgång, rättelse, radering, begränsning och dataportabilitet samt invända mot behandling som grundas på berättigat intresse eller direktmarknadsföring. Du kan återkalla samtycke utan att det påverkar tidigare laglig behandling. Rättigheterna kan begränsas av lag och andras rättigheter.</w:t>
      </w:r>
    </w:p>
    <w:p>
      <w:r>
        <w:t>Begäran skickas till [GDPR-adress]. Du har rätt att lämna klagomål till Integritetsskyddsmyndigheten (IMY).</w:t>
      </w:r>
    </w:p>
    <w:p>
      <w:pPr>
        <w:pStyle w:val="Heading1"/>
      </w:pPr>
      <w:r>
        <w:t>12. Säkerhet och incidenter</w:t>
      </w:r>
    </w:p>
    <w:p>
      <w:r>
        <w:t>TooDoo använder riskbaserade tekniska och organisatoriska åtgärder, bland annat behörighetsstyrning, loggning, säker utveckling, kryptering där lämpligt, säkerhetskopiering och incidenthantering. Ingen digital tjänst kan dock garantera fullständig säkerhet.</w:t>
      </w:r>
    </w:p>
    <w:p>
      <w:pPr>
        <w:pStyle w:val="Heading1"/>
      </w:pPr>
      <w:r>
        <w:t>13. Ändringar</w:t>
      </w:r>
    </w:p>
    <w:p>
      <w:r>
        <w:t>Väsentliga ändringar meddelas i appen, via e-post eller på annat lämpligt sätt innan de börjar gälla. Den senaste versionen ska alltid finnas på Plattformen.</w:t>
      </w:r>
    </w:p>
    <w:p>
      <w:pPr>
        <w:pStyle w:val="Heading1"/>
      </w:pPr>
      <w:r>
        <w:t>Kontakt</w:t>
      </w:r>
    </w:p>
    <w:tbl>
      <w:tblPr>
        <w:tblStyle w:val="TableGrid"/>
        <w:tblW w:type="auto" w:w="0"/>
        <w:jc w:val="left"/>
        <w:tblLook w:firstColumn="1" w:firstRow="1" w:lastColumn="0" w:lastRow="0" w:noHBand="0" w:noVBand="1" w:val="04A0"/>
      </w:tblPr>
      <w:tblGrid>
        <w:gridCol w:w="4844"/>
        <w:gridCol w:w="4844"/>
      </w:tblGrid>
      <w:tr>
        <w:tc>
          <w:tcPr>
            <w:tcW w:type="dxa" w:w="4844"/>
          </w:tcPr>
          <w:p>
            <w:r>
              <w:rPr>
                <w:b/>
              </w:rPr>
              <w:t>Juridiskt bolagsnamn</w:t>
            </w:r>
          </w:p>
        </w:tc>
        <w:tc>
          <w:tcPr>
            <w:tcW w:type="dxa" w:w="4844"/>
          </w:tcPr>
          <w:p>
            <w:r>
              <w:t>[Bolagsnamn]</w:t>
            </w:r>
          </w:p>
        </w:tc>
      </w:tr>
      <w:tr>
        <w:tc>
          <w:tcPr>
            <w:tcW w:type="dxa" w:w="4844"/>
          </w:tcPr>
          <w:p>
            <w:r>
              <w:rPr>
                <w:b/>
              </w:rPr>
              <w:t>Organisationsnummer</w:t>
            </w:r>
          </w:p>
        </w:tc>
        <w:tc>
          <w:tcPr>
            <w:tcW w:type="dxa" w:w="4844"/>
          </w:tcPr>
          <w:p>
            <w:r>
              <w:t>[Organisationsnummer]</w:t>
            </w:r>
          </w:p>
        </w:tc>
      </w:tr>
      <w:tr>
        <w:tc>
          <w:tcPr>
            <w:tcW w:type="dxa" w:w="4844"/>
          </w:tcPr>
          <w:p>
            <w:r>
              <w:rPr>
                <w:b/>
              </w:rPr>
              <w:t>Postadress</w:t>
            </w:r>
          </w:p>
        </w:tc>
        <w:tc>
          <w:tcPr>
            <w:tcW w:type="dxa" w:w="4844"/>
          </w:tcPr>
          <w:p>
            <w:r>
              <w:t>[Adress]</w:t>
            </w:r>
          </w:p>
        </w:tc>
      </w:tr>
      <w:tr>
        <w:tc>
          <w:tcPr>
            <w:tcW w:type="dxa" w:w="4844"/>
          </w:tcPr>
          <w:p>
            <w:r>
              <w:rPr>
                <w:b/>
              </w:rPr>
              <w:t>Support</w:t>
            </w:r>
          </w:p>
        </w:tc>
        <w:tc>
          <w:tcPr>
            <w:tcW w:type="dxa" w:w="4844"/>
          </w:tcPr>
          <w:p>
            <w:r>
              <w:t>[Supportadress]</w:t>
            </w:r>
          </w:p>
        </w:tc>
      </w:tr>
      <w:tr>
        <w:tc>
          <w:tcPr>
            <w:tcW w:type="dxa" w:w="4844"/>
          </w:tcPr>
          <w:p>
            <w:r>
              <w:rPr>
                <w:b/>
              </w:rPr>
              <w:t>Integritetsfrågor/GDPR</w:t>
            </w:r>
          </w:p>
        </w:tc>
        <w:tc>
          <w:tcPr>
            <w:tcW w:type="dxa" w:w="4844"/>
          </w:tcPr>
          <w:p>
            <w:r>
              <w:t>[GDPR-adress]</w:t>
            </w:r>
          </w:p>
        </w:tc>
      </w:tr>
      <w:tr>
        <w:tc>
          <w:tcPr>
            <w:tcW w:type="dxa" w:w="4844"/>
          </w:tcPr>
          <w:p>
            <w:r>
              <w:rPr>
                <w:b/>
              </w:rPr>
              <w:t>Företagssupport</w:t>
            </w:r>
          </w:p>
        </w:tc>
        <w:tc>
          <w:tcPr>
            <w:tcW w:type="dxa" w:w="4844"/>
          </w:tcPr>
          <w:p>
            <w:r>
              <w:t>[Företagssupport]</w:t>
            </w:r>
          </w:p>
        </w:tc>
      </w:tr>
      <w:tr>
        <w:tc>
          <w:tcPr>
            <w:tcW w:type="dxa" w:w="4844"/>
          </w:tcPr>
          <w:p>
            <w:r>
              <w:rPr>
                <w:b/>
              </w:rPr>
              <w:t>DSA-kontaktpunkt</w:t>
            </w:r>
          </w:p>
        </w:tc>
        <w:tc>
          <w:tcPr>
            <w:tcW w:type="dxa" w:w="4844"/>
          </w:tcPr>
          <w:p>
            <w:r>
              <w:t>[DSA-kontaktpunkt]</w:t>
            </w:r>
          </w:p>
        </w:tc>
      </w:tr>
    </w:tbl>
    <w:sectPr w:rsidR="00FC693F" w:rsidRPr="0006063C" w:rsidSect="00034616">
      <w:footerReference w:type="default" r:id="rId9"/>
      <w:pgSz w:w="12240" w:h="15840"/>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TooDoo | 2.0 – Launch Candidate | Konfidentiell lanseringskandidat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Integritetspolicy – Privatpersoner</dc:title>
  <dc:subject>TooDoo Legal Pack Version 2.0 – Launch Candidate</dc:subject>
  <dc:creator>TooDoo</dc:creator>
  <cp:keywords/>
  <dc:description>generated by python-docx</dc:description>
  <cp:lastModifiedBy/>
  <cp:revision>1</cp:revision>
  <dcterms:created xsi:type="dcterms:W3CDTF">2013-12-23T23:15:00Z</dcterms:created>
  <dcterms:modified xsi:type="dcterms:W3CDTF">2013-12-23T23:15:00Z</dcterms:modified>
  <cp:category/>
</cp:coreProperties>
</file>