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Integritetspolicy – Företagsrepresentanter</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Om policyn</w:t>
      </w:r>
    </w:p>
    <w:p>
      <w:r>
        <w:t>Policyn gäller kontaktpersoner, administratörer, företrädare och personal hos svenska Företag som ansöker om eller använder företagsportalen.</w:t>
      </w:r>
    </w:p>
    <w:p>
      <w:pPr>
        <w:pStyle w:val="Heading1"/>
      </w:pPr>
      <w:r>
        <w:t>2. Personuppgiftsansvarig</w:t>
      </w:r>
    </w:p>
    <w:p>
      <w:r>
        <w:t>[Bolagsnamn], org.nr [Organisationsnummer], [Adress], är personuppgiftsansvarig för behandling som beskrivs här. Kontakt: [GDPR-adress].</w:t>
      </w:r>
    </w:p>
    <w:p>
      <w:pPr>
        <w:pStyle w:val="Heading1"/>
      </w:pPr>
      <w:r>
        <w:t>3. Uppgifter vi behandlar</w:t>
      </w:r>
    </w:p>
    <w:p>
      <w:pPr>
        <w:pStyle w:val="ListBullet"/>
      </w:pPr>
      <w:r>
        <w:t>namn, tjänstetitel, arbetsrelaterade kontaktuppgifter och behörighet</w:t>
      </w:r>
    </w:p>
    <w:p>
      <w:pPr>
        <w:pStyle w:val="ListBullet"/>
      </w:pPr>
      <w:r>
        <w:t>företags-, registrerings- och verifieringsuppgifter, inklusive underlag om företrädare</w:t>
      </w:r>
    </w:p>
    <w:p>
      <w:pPr>
        <w:pStyle w:val="ListBullet"/>
      </w:pPr>
      <w:r>
        <w:t>avtals-, provisions-, faktura- och kommunikationsuppgifter; TooDoo behandlar inte konsumentbetalningar</w:t>
      </w:r>
    </w:p>
    <w:p>
      <w:pPr>
        <w:pStyle w:val="ListBullet"/>
      </w:pPr>
      <w:r>
        <w:t>portalaktivitet, kampanj-, boknings- och inlösensdata</w:t>
      </w:r>
    </w:p>
    <w:p>
      <w:pPr>
        <w:pStyle w:val="ListBullet"/>
      </w:pPr>
      <w:r>
        <w:t>supportärenden, modereringshistorik, säkerhetsloggar och enhetsuppgifter</w:t>
      </w:r>
    </w:p>
    <w:p>
      <w:pPr>
        <w:pStyle w:val="Heading1"/>
      </w:pPr>
      <w:r>
        <w:t>4. Ändamål och rättsliga grunder</w:t>
      </w:r>
    </w:p>
    <w:p>
      <w:pPr>
        <w:pStyle w:val="ListBullet"/>
      </w:pPr>
      <w:r>
        <w:t>registrera, verifiera och administrera Företaget – avtal och berättigat intresse</w:t>
      </w:r>
    </w:p>
    <w:p>
      <w:pPr>
        <w:pStyle w:val="ListBullet"/>
      </w:pPr>
      <w:r>
        <w:t>tillhandahålla portalen, kampanjer, statistik, support och fakturering – avtal och berättigat intresse</w:t>
      </w:r>
    </w:p>
    <w:p>
      <w:pPr>
        <w:pStyle w:val="ListBullet"/>
      </w:pPr>
      <w:r>
        <w:t>säkerhet, bedrägeriförebyggande, moderering och rättsliga anspråk – berättigat intresse och rättslig skyldighet</w:t>
      </w:r>
    </w:p>
    <w:p>
      <w:pPr>
        <w:pStyle w:val="ListBullet"/>
      </w:pPr>
      <w:r>
        <w:t>bokföring, skatt, myndighetskrav och dokumentation – rättslig skyldighet</w:t>
      </w:r>
    </w:p>
    <w:p>
      <w:pPr>
        <w:pStyle w:val="ListBullet"/>
      </w:pPr>
      <w:r>
        <w:t>produktanalys och förbättring – berättigat intresse; icke-nödvändig spårning efter samtycke när det krävs</w:t>
      </w:r>
    </w:p>
    <w:p>
      <w:pPr>
        <w:pStyle w:val="ListBullet"/>
      </w:pPr>
      <w:r>
        <w:t>drift- och avtalsinformation – avtal eller berättigat intresse; marknadsföring enligt tillämpliga regler</w:t>
      </w:r>
    </w:p>
    <w:p>
      <w:pPr>
        <w:pStyle w:val="Heading1"/>
      </w:pPr>
      <w:r>
        <w:t>5. GDPR-roller mellan TooDoo och Företaget</w:t>
      </w:r>
    </w:p>
    <w:p>
      <w:r>
        <w:t>TooDoo och Företaget är normalt självständigt personuppgiftsansvariga för behandling som sker för respektive parts egna ändamål. Exempelvis ansvarar Företaget för personuppgifter som det tar emot för att genomföra en bokning och fullgöra konsumentavtalet.</w:t>
      </w:r>
    </w:p>
    <w:p>
      <w:r>
        <w:t>Parterna kan i en viss behandling stå i personuppgiftsbiträdesförhållande eller vara gemensamt personuppgiftsansvariga. En sådan behandling får börja först när roller, instruktioner och ansvar har reglerats i ett separat personuppgiftsbiträdes-, delnings- eller gemensamt ansvarighetsavtal.</w:t>
      </w:r>
    </w:p>
    <w:p>
      <w:pPr>
        <w:pStyle w:val="Heading1"/>
      </w:pPr>
      <w:r>
        <w:t>6. AI och analys</w:t>
      </w:r>
    </w:p>
    <w:p>
      <w:r>
        <w:t>TooDoo kan analysera portalaktivitet och kampanjresultat samt erbjuda AI-stöd. Automatiserade system kan användas för risk- och kvalitetssignaler men beslut med betydande konsekvenser ska ha lämplig mänsklig kontroll när lag kräver det.</w:t>
      </w:r>
    </w:p>
    <w:p>
      <w:pPr>
        <w:pStyle w:val="Heading1"/>
      </w:pPr>
      <w:r>
        <w:t>7. Mottagare och överföringar</w:t>
      </w:r>
    </w:p>
    <w:p>
      <w:r>
        <w:t>Uppgifter kan delas med drift-, moln-, kommunikations-, analys-, fakturerings-, support- och säkerhetsleverantörer, rådgivare och myndigheter när det finns rättslig grund. Överföring utanför EU/EES sker endast med giltig överföringsmekanism och nödvändiga skyddsåtgärder.</w:t>
      </w:r>
    </w:p>
    <w:p>
      <w:pPr>
        <w:pStyle w:val="Heading1"/>
      </w:pPr>
      <w:r>
        <w:t>8. Lagring</w:t>
      </w:r>
    </w:p>
    <w:p>
      <w:pPr>
        <w:pStyle w:val="ListBullet"/>
      </w:pPr>
      <w:r>
        <w:t>kontakt- och portaluppgifter: under avtalet och normalt upp till 24 månader därefter</w:t>
      </w:r>
    </w:p>
    <w:p>
      <w:pPr>
        <w:pStyle w:val="ListBullet"/>
      </w:pPr>
      <w:r>
        <w:t>avtals-, faktura- och bokföringsunderlag: enligt bokföringslagens krav</w:t>
      </w:r>
    </w:p>
    <w:p>
      <w:pPr>
        <w:pStyle w:val="ListBullet"/>
      </w:pPr>
      <w:r>
        <w:t>verifieringsunderlag: under relationen och normalt sex månader därefter när DSA:s särskilda lagringstid är tillämplig, om inte längre lagring krävs</w:t>
      </w:r>
    </w:p>
    <w:p>
      <w:pPr>
        <w:pStyle w:val="ListBullet"/>
      </w:pPr>
      <w:r>
        <w:t>support- och tvistmaterial: normalt 3 år eller till dess att anspråk preskriberats</w:t>
      </w:r>
    </w:p>
    <w:p>
      <w:pPr>
        <w:pStyle w:val="ListBullet"/>
      </w:pPr>
      <w:r>
        <w:t>säkerhetsloggar: normalt 3–12 månader</w:t>
      </w:r>
    </w:p>
    <w:p>
      <w:pPr>
        <w:pStyle w:val="Heading1"/>
      </w:pPr>
      <w:r>
        <w:t>9. Rättigheter</w:t>
      </w:r>
    </w:p>
    <w:p>
      <w:r>
        <w:t>Den registrerade kan begära tillgång, rättelse, radering, begränsning och dataportabilitet samt invända mot behandling som grundas på berättigat intresse. Begäran skickas till [GDPR-adress]. Klagomål kan lämnas till IMY.</w:t>
      </w:r>
    </w:p>
    <w:p>
      <w:pPr>
        <w:pStyle w:val="Heading1"/>
      </w:pPr>
      <w:r>
        <w:t>10. Säkerhet och ändringar</w:t>
      </w:r>
    </w:p>
    <w:p>
      <w:r>
        <w:t>TooDoo använder riskbaserade säkerhetsåtgärder. Väsentliga ändringar av policyn meddelas via portalen eller e-post.</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Integritetspolicy – Företagsrepresentanter</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