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TooDoo</w:t>
      </w:r>
    </w:p>
    <w:p>
      <w:pPr>
        <w:pStyle w:val="Title"/>
        <w:jc w:val="center"/>
      </w:pPr>
      <w:r>
        <w:t>Policy för cookies och liknande teknik – App</w:t>
      </w:r>
    </w:p>
    <w:p>
      <w:pPr>
        <w:jc w:val="center"/>
      </w:pPr>
      <w:r>
        <w:t>Senast uppdaterad: [Datum]</w:t>
        <w:br/>
        <w:t>Version: 2.0 – Launch Candidate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AF2F8"/>
            <w:vAlign w:val="center"/>
          </w:tcPr>
          <w:p>
            <w:r>
              <w:rPr>
                <w:b/>
              </w:rPr>
              <w:t xml:space="preserve">Publiceringsnotering: </w:t>
            </w:r>
            <w:r>
              <w:t>Före publicering måste samtliga uppgifter inom hakparenteser fyllas i och dokumenten stämmas av mot Plattformens slutliga funktioner, leverantörer och avtal. Versionen är framtagen som lanseringskandidat och bör slutgranskas av svensk jurist.</w:t>
            </w:r>
          </w:p>
        </w:tc>
      </w:tr>
    </w:tbl>
    <w:p/>
    <w:p>
      <w:pPr>
        <w:pStyle w:val="Heading1"/>
      </w:pPr>
      <w:r>
        <w:t>1. Om tekniken</w:t>
      </w:r>
    </w:p>
    <w:p>
      <w:r>
        <w:t>Mobilappen kan använda SDK:er, lokal lagring, enhetsidentifierare, pixlar och liknande tekniker. I denna policy kallas de gemensamt ”tekniker”. Den faktiska leverantörs- och tekniklistan måste fyllas i utifrån appens slutliga implementation före publicering.</w:t>
      </w:r>
    </w:p>
    <w:p>
      <w:pPr>
        <w:pStyle w:val="Heading1"/>
      </w:pPr>
      <w:r>
        <w:t>2. Kategorier</w:t>
      </w:r>
    </w:p>
    <w:p>
      <w:pPr>
        <w:pStyle w:val="ListBullet"/>
      </w:pPr>
      <w:r>
        <w:t>Nödvändiga tekniker: inloggning, säkerhet, sessionshantering, belastningsutjämning och grundläggande funktion. Används utan samtycke när de är nödvändiga.</w:t>
      </w:r>
    </w:p>
    <w:p>
      <w:pPr>
        <w:pStyle w:val="ListBullet"/>
      </w:pPr>
      <w:r>
        <w:t>Funktionella tekniker: sparar val, språk, preferenser och vissa appfunktioner. Används efter samtycke när lag kräver det.</w:t>
      </w:r>
    </w:p>
    <w:p>
      <w:pPr>
        <w:pStyle w:val="ListBullet"/>
      </w:pPr>
      <w:r>
        <w:t>Analys: mäter användning, fel och prestanda för att förbättra tjänsten. Icke-nödvändig analys aktiveras först efter samtycke.</w:t>
      </w:r>
    </w:p>
    <w:p>
      <w:pPr>
        <w:pStyle w:val="ListBullet"/>
      </w:pPr>
      <w:r>
        <w:t>Personalisering och marknadsföring: används för relevanta rekommendationer, kampanjmätning eller annonsering. Aktiveras endast efter giltigt samtycke när det krävs.</w:t>
      </w:r>
    </w:p>
    <w:p>
      <w:pPr>
        <w:pStyle w:val="Heading1"/>
      </w:pPr>
      <w:r>
        <w:t>3. Appbehörigheter</w:t>
      </w:r>
    </w:p>
    <w:p>
      <w:r>
        <w:t>Plats, kamera, bilder, pushnotiser och andra operativsystemsbehörigheter begärs separat och endast när funktionen behöver dem. Behörigheter kan ändras i enhetens inställningar. Plats i bakgrunden ska inte användas utan särskild, tydlig information och nödvändig rättslig grund.</w:t>
      </w:r>
    </w:p>
    <w:p>
      <w:pPr>
        <w:pStyle w:val="Heading1"/>
      </w:pPr>
      <w:r>
        <w:t>4. Samtycke och val</w:t>
      </w:r>
    </w:p>
    <w:p>
      <w:r>
        <w:t>Appen ska ge ett tydligt val där det är lika enkelt att neka som att acceptera icke-nödvändiga tekniker. Förvalda samtycken får inte användas. Samtycke ska kunna återkallas när som helst via ”Integritetsinställningar” eller motsvarande i appen.</w:t>
      </w:r>
    </w:p>
    <w:p>
      <w:pPr>
        <w:pStyle w:val="Heading1"/>
      </w:pPr>
      <w:r>
        <w:t>5. Teknikförteckning</w:t>
      </w:r>
    </w:p>
    <w:p>
      <w:r>
        <w:t>Före publicering ska nedanstående tabell ersättas eller kompletteras med den faktiska konfigurationen: [Leverantör], [Teknik/SDK], [Ändamål], [Kategori], [Data], [Lagringstid], [Land/överföring], [Länk till leverantörens policy].</w:t>
      </w:r>
    </w:p>
    <w:p>
      <w:pPr>
        <w:pStyle w:val="Heading1"/>
      </w:pPr>
      <w:r>
        <w:t>6. Personuppgifter och kontakt</w:t>
      </w:r>
    </w:p>
    <w:p>
      <w:r>
        <w:t>Mer information finns i Integritetspolicy – Privatpersoner. Frågor skickas till [GDPR-adress].</w:t>
      </w:r>
    </w:p>
    <w:p>
      <w:pPr>
        <w:pStyle w:val="Heading1"/>
      </w:pPr>
      <w:r>
        <w:t>Kontakt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Juridiskt bolagsnamn</w:t>
            </w:r>
          </w:p>
        </w:tc>
        <w:tc>
          <w:tcPr>
            <w:tcW w:type="dxa" w:w="4844"/>
          </w:tcPr>
          <w:p>
            <w:r>
              <w:t>[Bolagsnamn]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Organisationsnummer</w:t>
            </w:r>
          </w:p>
        </w:tc>
        <w:tc>
          <w:tcPr>
            <w:tcW w:type="dxa" w:w="4844"/>
          </w:tcPr>
          <w:p>
            <w:r>
              <w:t>[Organisationsnummer]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Postadress</w:t>
            </w:r>
          </w:p>
        </w:tc>
        <w:tc>
          <w:tcPr>
            <w:tcW w:type="dxa" w:w="4844"/>
          </w:tcPr>
          <w:p>
            <w:r>
              <w:t>[Adress]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4844"/>
          </w:tcPr>
          <w:p>
            <w:r>
              <w:t>[Supportadress]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Integritetsfrågor/GDPR</w:t>
            </w:r>
          </w:p>
        </w:tc>
        <w:tc>
          <w:tcPr>
            <w:tcW w:type="dxa" w:w="4844"/>
          </w:tcPr>
          <w:p>
            <w:r>
              <w:t>[GDPR-adress]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Företagssupport</w:t>
            </w:r>
          </w:p>
        </w:tc>
        <w:tc>
          <w:tcPr>
            <w:tcW w:type="dxa" w:w="4844"/>
          </w:tcPr>
          <w:p>
            <w:r>
              <w:t>[Företagssupport]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DSA-kontaktpunkt</w:t>
            </w:r>
          </w:p>
        </w:tc>
        <w:tc>
          <w:tcPr>
            <w:tcW w:type="dxa" w:w="4844"/>
          </w:tcPr>
          <w:p>
            <w:r>
              <w:t>[DSA-kontaktpunkt]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TooDoo | 2.0 – Launch Candidate | Konfidentiell lanseringskandidat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för cookies och liknande teknik – App</dc:title>
  <dc:subject>TooDoo Legal Pack Version 2.0 – Launch Candidate</dc:subject>
  <dc:creator>TooDoo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