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TooDoo</w:t>
      </w:r>
    </w:p>
    <w:p>
      <w:pPr>
        <w:pStyle w:val="Title"/>
        <w:jc w:val="center"/>
      </w:pPr>
      <w:r>
        <w:t>Cookiepolicy – Företagsportal</w:t>
      </w:r>
    </w:p>
    <w:p>
      <w:pPr>
        <w:jc w:val="center"/>
      </w:pPr>
      <w:r>
        <w:t>Senast uppdaterad: [Datum]</w:t>
        <w:br/>
        <w:t>Version: 2.0 – Launch Candidate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AF2F8"/>
            <w:vAlign w:val="center"/>
          </w:tcPr>
          <w:p>
            <w:r>
              <w:rPr>
                <w:b/>
              </w:rPr>
              <w:t xml:space="preserve">Publiceringsnotering: </w:t>
            </w:r>
            <w:r>
              <w:t>Före publicering måste samtliga uppgifter inom hakparenteser fyllas i och dokumenten stämmas av mot Plattformens slutliga funktioner, leverantörer och avtal. Versionen är framtagen som lanseringskandidat och bör slutgranskas av svensk jurist.</w:t>
            </w:r>
          </w:p>
        </w:tc>
      </w:tr>
    </w:tbl>
    <w:p/>
    <w:p>
      <w:pPr>
        <w:pStyle w:val="Heading1"/>
      </w:pPr>
      <w:r>
        <w:t>1. Om cookies</w:t>
      </w:r>
    </w:p>
    <w:p>
      <w:r>
        <w:t>Företagsportalen och TooDoos webbplats kan använda cookies och liknande tekniker. Den faktiska cookie- och leverantörslistan måste färdigställas efter teknisk inventering före publicering.</w:t>
      </w:r>
    </w:p>
    <w:p>
      <w:pPr>
        <w:pStyle w:val="Heading1"/>
      </w:pPr>
      <w:r>
        <w:t>2. Kategorier</w:t>
      </w:r>
    </w:p>
    <w:p>
      <w:pPr>
        <w:pStyle w:val="ListBullet"/>
      </w:pPr>
      <w:r>
        <w:t>Nödvändiga cookies för inloggning, säkerhet, sessionshantering och portalens grundfunktioner.</w:t>
      </w:r>
    </w:p>
    <w:p>
      <w:pPr>
        <w:pStyle w:val="ListBullet"/>
      </w:pPr>
      <w:r>
        <w:t>Funktionella cookies för inställningar och förbättrad användarupplevelse.</w:t>
      </w:r>
    </w:p>
    <w:p>
      <w:pPr>
        <w:pStyle w:val="ListBullet"/>
      </w:pPr>
      <w:r>
        <w:t>Analyscookies för statistik, felanalys och produktutveckling.</w:t>
      </w:r>
    </w:p>
    <w:p>
      <w:pPr>
        <w:pStyle w:val="ListBullet"/>
      </w:pPr>
      <w:r>
        <w:t>Marknadsföringscookies för kampanjmätning och annonsering, om sådana används.</w:t>
      </w:r>
    </w:p>
    <w:p>
      <w:pPr>
        <w:pStyle w:val="Heading1"/>
      </w:pPr>
      <w:r>
        <w:t>3. Rättslig grund och samtycke</w:t>
      </w:r>
    </w:p>
    <w:p>
      <w:r>
        <w:t>Nödvändiga cookies används med stöd av undantaget för tekniskt nödvändig lagring och åtkomst. Icke-nödvändiga cookies aktiveras först efter samtycke. Samtycke ska vara frivilligt, specifikt, informerat och otvetydigt; det ska vara lika enkelt att återkalla som att lämna.</w:t>
      </w:r>
    </w:p>
    <w:p>
      <w:pPr>
        <w:pStyle w:val="Heading1"/>
      </w:pPr>
      <w:r>
        <w:t>4. Cookiepanel</w:t>
      </w:r>
    </w:p>
    <w:p>
      <w:r>
        <w:t>Cookiebannern ska erbjuda ”Acceptera alla”, ”Neka alla” och ”Anpassa” på samma nivå och utan vilseledande design. Användaren ska kunna återöppna cookiepanelen via en permanent länk i sidfoten.</w:t>
      </w:r>
    </w:p>
    <w:p>
      <w:pPr>
        <w:pStyle w:val="Heading1"/>
      </w:pPr>
      <w:r>
        <w:t>5. Förteckning</w:t>
      </w:r>
    </w:p>
    <w:p>
      <w:r>
        <w:t>Före publicering ska en teknisk tabell publiceras med: [Namn], [Leverantör], [Ändamål], [Kategori], [Första/tredje part], [Lagringstid] och [överföring utanför EU/EES].</w:t>
      </w:r>
    </w:p>
    <w:p>
      <w:pPr>
        <w:pStyle w:val="Heading1"/>
      </w:pPr>
      <w:r>
        <w:t>6. Webbläsarinställningar och kontakt</w:t>
      </w:r>
    </w:p>
    <w:p>
      <w:r>
        <w:t>Cookies kan även raderas i webbläsaren, men nödvändiga cookies kan krävas för portalens funktion. Integritetsfrågor skickas till [GDPR-adress].</w:t>
      </w:r>
    </w:p>
    <w:p>
      <w:pPr>
        <w:pStyle w:val="Heading1"/>
      </w:pPr>
      <w:r>
        <w:t>Kontakt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Juridiskt bolagsnamn</w:t>
            </w:r>
          </w:p>
        </w:tc>
        <w:tc>
          <w:tcPr>
            <w:tcW w:type="dxa" w:w="4844"/>
          </w:tcPr>
          <w:p>
            <w:r>
              <w:t>[Bolagsnamn]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Organisationsnummer</w:t>
            </w:r>
          </w:p>
        </w:tc>
        <w:tc>
          <w:tcPr>
            <w:tcW w:type="dxa" w:w="4844"/>
          </w:tcPr>
          <w:p>
            <w:r>
              <w:t>[Organisationsnummer]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Postadress</w:t>
            </w:r>
          </w:p>
        </w:tc>
        <w:tc>
          <w:tcPr>
            <w:tcW w:type="dxa" w:w="4844"/>
          </w:tcPr>
          <w:p>
            <w:r>
              <w:t>[Adress]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4844"/>
          </w:tcPr>
          <w:p>
            <w:r>
              <w:t>[Supportadress]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Integritetsfrågor/GDPR</w:t>
            </w:r>
          </w:p>
        </w:tc>
        <w:tc>
          <w:tcPr>
            <w:tcW w:type="dxa" w:w="4844"/>
          </w:tcPr>
          <w:p>
            <w:r>
              <w:t>[GDPR-adress]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Företagssupport</w:t>
            </w:r>
          </w:p>
        </w:tc>
        <w:tc>
          <w:tcPr>
            <w:tcW w:type="dxa" w:w="4844"/>
          </w:tcPr>
          <w:p>
            <w:r>
              <w:t>[Företagssupport]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DSA-kontaktpunkt</w:t>
            </w:r>
          </w:p>
        </w:tc>
        <w:tc>
          <w:tcPr>
            <w:tcW w:type="dxa" w:w="4844"/>
          </w:tcPr>
          <w:p>
            <w:r>
              <w:t>[DSA-kontaktpunkt]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TooDoo | 2.0 – Launch Candidate | Konfidentiell lanseringskandidat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Cookiepolicy – Företagsportal</dc:title>
  <dc:subject>TooDoo Legal Pack Version 2.0 – Launch Candidate</dc:subject>
  <dc:creator>TooDoo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