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TooDoo</w:t>
      </w:r>
    </w:p>
    <w:p>
      <w:pPr>
        <w:pStyle w:val="Title"/>
        <w:jc w:val="center"/>
      </w:pPr>
      <w:r>
        <w:t>Riktlinjer för gemenskapen</w:t>
      </w:r>
    </w:p>
    <w:p>
      <w:pPr>
        <w:jc w:val="center"/>
      </w:pPr>
      <w:r>
        <w:t>Senast uppdaterad: [Datum]</w:t>
        <w:br/>
        <w:t>Version: 2.0 – Launch Candidate</w:t>
      </w:r>
    </w:p>
    <w:tbl>
      <w:tblPr>
        <w:tblW w:type="auto" w:w="0"/>
        <w:jc w:val="center"/>
        <w:tblLayout w:type="autofit"/>
        <w:tblLook w:firstColumn="1" w:firstRow="1" w:lastColumn="0" w:lastRow="0" w:noHBand="0" w:noVBand="1" w:val="04A0"/>
      </w:tblPr>
      <w:tblGrid>
        <w:gridCol w:w="9688"/>
      </w:tblGrid>
      <w:tr>
        <w:tc>
          <w:tcPr>
            <w:tcW w:type="dxa" w:w="9688"/>
            <w:shd w:fill="EAF2F8"/>
            <w:vAlign w:val="center"/>
          </w:tcPr>
          <w:p>
            <w:r>
              <w:rPr>
                <w:b/>
              </w:rPr>
              <w:t xml:space="preserve">Publiceringsnotering: </w:t>
            </w:r>
            <w:r>
              <w:t>Före publicering måste samtliga uppgifter inom hakparenteser fyllas i och dokumenten stämmas av mot Plattformens slutliga funktioner, leverantörer och avtal. Versionen är framtagen som lanseringskandidat och bör slutgranskas av svensk jurist.</w:t>
            </w:r>
          </w:p>
        </w:tc>
      </w:tr>
    </w:tbl>
    <w:p/>
    <w:p>
      <w:pPr>
        <w:pStyle w:val="Heading1"/>
      </w:pPr>
      <w:r>
        <w:t>1. Syfte</w:t>
      </w:r>
    </w:p>
    <w:p>
      <w:r>
        <w:t>Riktlinjerna gäller Användare och Företag och ska bidra till en trygg, relevant och pålitlig Plattform.</w:t>
      </w:r>
    </w:p>
    <w:p>
      <w:pPr>
        <w:pStyle w:val="Heading1"/>
      </w:pPr>
      <w:r>
        <w:t>2. Grundregler</w:t>
      </w:r>
    </w:p>
    <w:p>
      <w:pPr>
        <w:pStyle w:val="ListBullet"/>
      </w:pPr>
      <w:r>
        <w:t>Var ärlig, respektfull och saklig.</w:t>
      </w:r>
    </w:p>
    <w:p>
      <w:pPr>
        <w:pStyle w:val="ListBullet"/>
      </w:pPr>
      <w:r>
        <w:t>Publicera korrekt och aktuell information.</w:t>
      </w:r>
    </w:p>
    <w:p>
      <w:pPr>
        <w:pStyle w:val="ListBullet"/>
      </w:pPr>
      <w:r>
        <w:t>Respektera integritet, upphovsrätt, varumärken och andra rättigheter.</w:t>
      </w:r>
    </w:p>
    <w:p>
      <w:pPr>
        <w:pStyle w:val="ListBullet"/>
      </w:pPr>
      <w:r>
        <w:t>Följ boknings-, kampanj- och säkerhetsregler.</w:t>
      </w:r>
    </w:p>
    <w:p>
      <w:pPr>
        <w:pStyle w:val="ListBullet"/>
      </w:pPr>
      <w:r>
        <w:t>Rapportera olagligt eller skadligt innehåll genom angiven kanal.</w:t>
      </w:r>
    </w:p>
    <w:p>
      <w:pPr>
        <w:pStyle w:val="Heading1"/>
      </w:pPr>
      <w:r>
        <w:t>3. Förbjudet innehåll och beteende</w:t>
      </w:r>
    </w:p>
    <w:p>
      <w:pPr>
        <w:pStyle w:val="ListBullet"/>
      </w:pPr>
      <w:r>
        <w:t>hot, hat, trakasserier, diskriminering, sexuellt utnyttjande eller våldsuppmaningar</w:t>
      </w:r>
    </w:p>
    <w:p>
      <w:pPr>
        <w:pStyle w:val="ListBullet"/>
      </w:pPr>
      <w:r>
        <w:t>bedrägeri, phishing, spam, falska identiteter eller vilseledande priser och kampanjer</w:t>
      </w:r>
    </w:p>
    <w:p>
      <w:pPr>
        <w:pStyle w:val="ListBullet"/>
      </w:pPr>
      <w:r>
        <w:t>falska recensioner, betygsmanipulation eller otillbörliga incitament</w:t>
      </w:r>
    </w:p>
    <w:p>
      <w:pPr>
        <w:pStyle w:val="ListBullet"/>
      </w:pPr>
      <w:r>
        <w:t>olagliga, farliga eller otillåtna produkter, tjänster eller Aktiviteter</w:t>
      </w:r>
    </w:p>
    <w:p>
      <w:pPr>
        <w:pStyle w:val="ListBullet"/>
      </w:pPr>
      <w:r>
        <w:t>otillåten publicering av personuppgifter, bilder eller konfidentiell information</w:t>
      </w:r>
    </w:p>
    <w:p>
      <w:pPr>
        <w:pStyle w:val="ListBullet"/>
      </w:pPr>
      <w:r>
        <w:t>intrång i immateriella rättigheter</w:t>
      </w:r>
    </w:p>
    <w:p>
      <w:pPr>
        <w:pStyle w:val="ListBullet"/>
      </w:pPr>
      <w:r>
        <w:t>skadlig kod, obehörig scraping, kringgående av säkerhet eller störning av Plattformen</w:t>
      </w:r>
    </w:p>
    <w:p>
      <w:pPr>
        <w:pStyle w:val="Heading1"/>
      </w:pPr>
      <w:r>
        <w:t>4. Minderåriga och säkerhet</w:t>
      </w:r>
    </w:p>
    <w:p>
      <w:r>
        <w:t>Innehåll eller Aktiviteter som rör barn ska utformas med särskild omsorg och följa ålders-, samtyckes- och säkerhetsregler. Sexuellt utnyttjande av barn eller material som skildrar sådant tolereras inte och kan rapporteras till behörig myndighet.</w:t>
      </w:r>
    </w:p>
    <w:p>
      <w:pPr>
        <w:pStyle w:val="Heading1"/>
      </w:pPr>
      <w:r>
        <w:t>5. Åtgärder</w:t>
      </w:r>
    </w:p>
    <w:p>
      <w:r>
        <w:t>TooDoo kan varna, märka, begränsa synlighet, ta bort innehåll, begränsa funktioner eller stänga av konton. Åtgärden ska vara proportionerlig med hänsyn till överträdelsens allvar, frekvens, avsikt, räckvidd och risk. Brådskande risk kan motivera omedelbar åtgärd.</w:t>
      </w:r>
    </w:p>
    <w:p>
      <w:pPr>
        <w:pStyle w:val="Heading1"/>
      </w:pPr>
      <w:r>
        <w:t>6. Rapportering, motivering och överklagande</w:t>
      </w:r>
    </w:p>
    <w:p>
      <w:r>
        <w:t>Anmälningar görs enligt Anmälnings- och åtgärdspolicyn. TooDoo lämnar en tydlig motivering när DSA eller annan tillämplig lag kräver det och tillhandahåller ett internt system för klagomål. Den berörda parten kan, när reglerna är tillämpliga, även välja ett certifierat utomrättsligt tvistlösningsorgan enligt artikel 21 DSA.</w:t>
      </w:r>
    </w:p>
    <w:p>
      <w:pPr>
        <w:pStyle w:val="Heading1"/>
      </w:pPr>
      <w:r>
        <w:t>7. Missbruk</w:t>
      </w:r>
    </w:p>
    <w:p>
      <w:r>
        <w:t>Upprepade uppenbart ogrundade anmälningar eller upprepad publicering av uppenbart olagligt innehåll kan leda till tillfälliga begränsningar efter varning och en individuell, proportionerlig bedömning.</w:t>
      </w:r>
    </w:p>
    <w:p>
      <w:pPr>
        <w:pStyle w:val="Heading1"/>
      </w:pPr>
      <w:r>
        <w:t>Kontakt</w:t>
      </w:r>
    </w:p>
    <w:tbl>
      <w:tblPr>
        <w:tblStyle w:val="TableGrid"/>
        <w:tblW w:type="auto" w:w="0"/>
        <w:jc w:val="left"/>
        <w:tblLook w:firstColumn="1" w:firstRow="1" w:lastColumn="0" w:lastRow="0" w:noHBand="0" w:noVBand="1" w:val="04A0"/>
      </w:tblPr>
      <w:tblGrid>
        <w:gridCol w:w="4844"/>
        <w:gridCol w:w="4844"/>
      </w:tblGrid>
      <w:tr>
        <w:tc>
          <w:tcPr>
            <w:tcW w:type="dxa" w:w="4844"/>
          </w:tcPr>
          <w:p>
            <w:r>
              <w:rPr>
                <w:b/>
              </w:rPr>
              <w:t>Juridiskt bolagsnamn</w:t>
            </w:r>
          </w:p>
        </w:tc>
        <w:tc>
          <w:tcPr>
            <w:tcW w:type="dxa" w:w="4844"/>
          </w:tcPr>
          <w:p>
            <w:r>
              <w:t>[Bolagsnamn]</w:t>
            </w:r>
          </w:p>
        </w:tc>
      </w:tr>
      <w:tr>
        <w:tc>
          <w:tcPr>
            <w:tcW w:type="dxa" w:w="4844"/>
          </w:tcPr>
          <w:p>
            <w:r>
              <w:rPr>
                <w:b/>
              </w:rPr>
              <w:t>Organisationsnummer</w:t>
            </w:r>
          </w:p>
        </w:tc>
        <w:tc>
          <w:tcPr>
            <w:tcW w:type="dxa" w:w="4844"/>
          </w:tcPr>
          <w:p>
            <w:r>
              <w:t>[Organisationsnummer]</w:t>
            </w:r>
          </w:p>
        </w:tc>
      </w:tr>
      <w:tr>
        <w:tc>
          <w:tcPr>
            <w:tcW w:type="dxa" w:w="4844"/>
          </w:tcPr>
          <w:p>
            <w:r>
              <w:rPr>
                <w:b/>
              </w:rPr>
              <w:t>Postadress</w:t>
            </w:r>
          </w:p>
        </w:tc>
        <w:tc>
          <w:tcPr>
            <w:tcW w:type="dxa" w:w="4844"/>
          </w:tcPr>
          <w:p>
            <w:r>
              <w:t>[Adress]</w:t>
            </w:r>
          </w:p>
        </w:tc>
      </w:tr>
      <w:tr>
        <w:tc>
          <w:tcPr>
            <w:tcW w:type="dxa" w:w="4844"/>
          </w:tcPr>
          <w:p>
            <w:r>
              <w:rPr>
                <w:b/>
              </w:rPr>
              <w:t>Support</w:t>
            </w:r>
          </w:p>
        </w:tc>
        <w:tc>
          <w:tcPr>
            <w:tcW w:type="dxa" w:w="4844"/>
          </w:tcPr>
          <w:p>
            <w:r>
              <w:t>[Supportadress]</w:t>
            </w:r>
          </w:p>
        </w:tc>
      </w:tr>
      <w:tr>
        <w:tc>
          <w:tcPr>
            <w:tcW w:type="dxa" w:w="4844"/>
          </w:tcPr>
          <w:p>
            <w:r>
              <w:rPr>
                <w:b/>
              </w:rPr>
              <w:t>Integritetsfrågor/GDPR</w:t>
            </w:r>
          </w:p>
        </w:tc>
        <w:tc>
          <w:tcPr>
            <w:tcW w:type="dxa" w:w="4844"/>
          </w:tcPr>
          <w:p>
            <w:r>
              <w:t>[GDPR-adress]</w:t>
            </w:r>
          </w:p>
        </w:tc>
      </w:tr>
      <w:tr>
        <w:tc>
          <w:tcPr>
            <w:tcW w:type="dxa" w:w="4844"/>
          </w:tcPr>
          <w:p>
            <w:r>
              <w:rPr>
                <w:b/>
              </w:rPr>
              <w:t>Företagssupport</w:t>
            </w:r>
          </w:p>
        </w:tc>
        <w:tc>
          <w:tcPr>
            <w:tcW w:type="dxa" w:w="4844"/>
          </w:tcPr>
          <w:p>
            <w:r>
              <w:t>[Företagssupport]</w:t>
            </w:r>
          </w:p>
        </w:tc>
      </w:tr>
      <w:tr>
        <w:tc>
          <w:tcPr>
            <w:tcW w:type="dxa" w:w="4844"/>
          </w:tcPr>
          <w:p>
            <w:r>
              <w:rPr>
                <w:b/>
              </w:rPr>
              <w:t>DSA-kontaktpunkt</w:t>
            </w:r>
          </w:p>
        </w:tc>
        <w:tc>
          <w:tcPr>
            <w:tcW w:type="dxa" w:w="4844"/>
          </w:tcPr>
          <w:p>
            <w:r>
              <w:t>[DSA-kontaktpunkt]</w:t>
            </w:r>
          </w:p>
        </w:tc>
      </w:tr>
    </w:tbl>
    <w:sectPr w:rsidR="00FC693F" w:rsidRPr="0006063C" w:rsidSect="00034616">
      <w:footerReference w:type="default" r:id="rId9"/>
      <w:pgSz w:w="12240" w:h="15840"/>
      <w:pgMar w:top="1134" w:right="1276" w:bottom="113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rPr>
      <w:t>TooDoo | 2.0 – Launch Candidate | Konfidentiell lanseringskandidat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Riktlinjer för gemenskapen</dc:title>
  <dc:subject>TooDoo Legal Pack Version 2.0 – Launch Candidate</dc:subject>
  <dc:creator>TooDoo</dc:creator>
  <cp:keywords/>
  <dc:description>generated by python-docx</dc:description>
  <cp:lastModifiedBy/>
  <cp:revision>1</cp:revision>
  <dcterms:created xsi:type="dcterms:W3CDTF">2013-12-23T23:15:00Z</dcterms:created>
  <dcterms:modified xsi:type="dcterms:W3CDTF">2013-12-23T23:15:00Z</dcterms:modified>
  <cp:category/>
</cp:coreProperties>
</file>