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TooDoo</w:t>
      </w:r>
    </w:p>
    <w:p>
      <w:pPr>
        <w:pStyle w:val="Title"/>
        <w:jc w:val="center"/>
      </w:pPr>
      <w:r>
        <w:t>Avboknings- och återbetalningspolicy</w:t>
      </w:r>
    </w:p>
    <w:p>
      <w:pPr>
        <w:jc w:val="center"/>
      </w:pPr>
      <w:r>
        <w:t>Senast uppdaterad: [Datum]</w:t>
        <w:br/>
        <w:t>Version: 2.0 – Launch Candidate</w:t>
      </w:r>
    </w:p>
    <w:tbl>
      <w:tblPr>
        <w:tblW w:type="auto" w:w="0"/>
        <w:jc w:val="center"/>
        <w:tblLayout w:type="autofit"/>
        <w:tblLook w:firstColumn="1" w:firstRow="1" w:lastColumn="0" w:lastRow="0" w:noHBand="0" w:noVBand="1" w:val="04A0"/>
      </w:tblPr>
      <w:tblGrid>
        <w:gridCol w:w="9688"/>
      </w:tblGrid>
      <w:tr>
        <w:tc>
          <w:tcPr>
            <w:tcW w:type="dxa" w:w="9688"/>
            <w:shd w:fill="EAF2F8"/>
            <w:vAlign w:val="center"/>
          </w:tcPr>
          <w:p>
            <w:r>
              <w:rPr>
                <w:b/>
              </w:rPr>
              <w:t xml:space="preserve">Publiceringsnotering: </w:t>
            </w:r>
            <w:r>
              <w:t>Före publicering måste samtliga uppgifter inom hakparenteser fyllas i och dokumenten stämmas av mot Plattformens slutliga funktioner, leverantörer och avtal. Versionen är framtagen som lanseringskandidat och bör slutgranskas av svensk jurist.</w:t>
            </w:r>
          </w:p>
        </w:tc>
      </w:tr>
    </w:tbl>
    <w:p/>
    <w:p>
      <w:pPr>
        <w:pStyle w:val="Heading1"/>
      </w:pPr>
      <w:r>
        <w:t>1. Huvudregel</w:t>
      </w:r>
    </w:p>
    <w:p>
      <w:r>
        <w:t>Företaget är Användarens avtalspart, tar emot betalningen och ansvarar för avbokning, reklamation, prisavdrag, ombokning och återbetalning enligt Företagets villkor och tvingande konsumentlagstiftning. TooDoo tar inte emot eller förmedlar betalningar.</w:t>
      </w:r>
    </w:p>
    <w:p>
      <w:pPr>
        <w:pStyle w:val="Heading1"/>
      </w:pPr>
      <w:r>
        <w:t>2. Information före bokning</w:t>
      </w:r>
    </w:p>
    <w:p>
      <w:r>
        <w:t>Företaget ska före bokning tydligt ange pris, betalningssätt, avbokningsfrist, no-show-regler, villkor för återbetalning och om lagstadgad ångerrätt gäller eller är undantagen.</w:t>
      </w:r>
    </w:p>
    <w:p>
      <w:pPr>
        <w:pStyle w:val="Heading1"/>
      </w:pPr>
      <w:r>
        <w:t>3. Ångerrätt</w:t>
      </w:r>
    </w:p>
    <w:p>
      <w:r>
        <w:t>Ångerrätt gäller enligt distansavtalslagen när inget undantag är tillämpligt. Ångerrätt saknas bland annat för kulturevenemang, idrottsevenemang och annan liknande fritidsaktivitet på bestämd dag eller under bestämd tidsperiod. Företaget ska göra en korrekt bedömning för varje Aktivitet.</w:t>
      </w:r>
    </w:p>
    <w:p>
      <w:pPr>
        <w:pStyle w:val="Heading1"/>
      </w:pPr>
      <w:r>
        <w:t>4. Inställd eller ändrad Aktivitet</w:t>
      </w:r>
    </w:p>
    <w:p>
      <w:r>
        <w:t>Om Företaget ställer in Aktiviteten eller gör en väsentlig ändring ska Företaget utan onödigt dröjsmål informera Användaren och erbjuda rättelse, ombokning eller återbetalning enligt lag och avtal. TooDoo kan vidarebefordra information men ansvarar inte för utbetalningen.</w:t>
      </w:r>
    </w:p>
    <w:p>
      <w:pPr>
        <w:pStyle w:val="Heading1"/>
      </w:pPr>
      <w:r>
        <w:t>5. Användarens avbokning och no-show</w:t>
      </w:r>
    </w:p>
    <w:p>
      <w:r>
        <w:t>Avbokning görs enligt instruktionerna i bokningsbekräftelsen. Om Användaren uteblir eller avbokar för sent kan Företaget ha rätt att behålla betalning om villkoret var tydligt, skäligt och lagligt. Tvingande rätt gäller alltid.</w:t>
      </w:r>
    </w:p>
    <w:p>
      <w:pPr>
        <w:pStyle w:val="Heading1"/>
      </w:pPr>
      <w:r>
        <w:t>6. Reklamation</w:t>
      </w:r>
    </w:p>
    <w:p>
      <w:r>
        <w:t>Reklamation om Aktiviteten ska riktas till Företaget så snart som möjligt. Användaren bör beskriva felet och spara bokningsbekräftelse och annan dokumentation. TooDoo kan hjälpa till att etablera kontakt och hantera plattformsrelaterade frågor.</w:t>
      </w:r>
    </w:p>
    <w:p>
      <w:pPr>
        <w:pStyle w:val="Heading1"/>
      </w:pPr>
      <w:r>
        <w:t>7. Kampanjer och Inlösen</w:t>
      </w:r>
    </w:p>
    <w:p>
      <w:r>
        <w:t>Villkor för en kampanj eller Inlösen får inte inskränka tvingande konsumenträtt. Om en Inlösen registrerats felaktigt ska Företaget och TooDoo utreda registreringen, men Företaget beslutar om ekonomisk rättelse gentemot Användaren.</w:t>
      </w:r>
    </w:p>
    <w:p>
      <w:pPr>
        <w:pStyle w:val="Heading1"/>
      </w:pPr>
      <w:r>
        <w:t>Kontakt</w:t>
      </w:r>
    </w:p>
    <w:tbl>
      <w:tblPr>
        <w:tblStyle w:val="TableGrid"/>
        <w:tblW w:type="auto" w:w="0"/>
        <w:jc w:val="left"/>
        <w:tblLook w:firstColumn="1" w:firstRow="1" w:lastColumn="0" w:lastRow="0" w:noHBand="0" w:noVBand="1" w:val="04A0"/>
      </w:tblPr>
      <w:tblGrid>
        <w:gridCol w:w="4844"/>
        <w:gridCol w:w="4844"/>
      </w:tblGrid>
      <w:tr>
        <w:tc>
          <w:tcPr>
            <w:tcW w:type="dxa" w:w="4844"/>
          </w:tcPr>
          <w:p>
            <w:r>
              <w:rPr>
                <w:b/>
              </w:rPr>
              <w:t>Juridiskt bolagsnamn</w:t>
            </w:r>
          </w:p>
        </w:tc>
        <w:tc>
          <w:tcPr>
            <w:tcW w:type="dxa" w:w="4844"/>
          </w:tcPr>
          <w:p>
            <w:r>
              <w:t>[Bolagsnamn]</w:t>
            </w:r>
          </w:p>
        </w:tc>
      </w:tr>
      <w:tr>
        <w:tc>
          <w:tcPr>
            <w:tcW w:type="dxa" w:w="4844"/>
          </w:tcPr>
          <w:p>
            <w:r>
              <w:rPr>
                <w:b/>
              </w:rPr>
              <w:t>Organisationsnummer</w:t>
            </w:r>
          </w:p>
        </w:tc>
        <w:tc>
          <w:tcPr>
            <w:tcW w:type="dxa" w:w="4844"/>
          </w:tcPr>
          <w:p>
            <w:r>
              <w:t>[Organisationsnummer]</w:t>
            </w:r>
          </w:p>
        </w:tc>
      </w:tr>
      <w:tr>
        <w:tc>
          <w:tcPr>
            <w:tcW w:type="dxa" w:w="4844"/>
          </w:tcPr>
          <w:p>
            <w:r>
              <w:rPr>
                <w:b/>
              </w:rPr>
              <w:t>Postadress</w:t>
            </w:r>
          </w:p>
        </w:tc>
        <w:tc>
          <w:tcPr>
            <w:tcW w:type="dxa" w:w="4844"/>
          </w:tcPr>
          <w:p>
            <w:r>
              <w:t>[Adress]</w:t>
            </w:r>
          </w:p>
        </w:tc>
      </w:tr>
      <w:tr>
        <w:tc>
          <w:tcPr>
            <w:tcW w:type="dxa" w:w="4844"/>
          </w:tcPr>
          <w:p>
            <w:r>
              <w:rPr>
                <w:b/>
              </w:rPr>
              <w:t>Support</w:t>
            </w:r>
          </w:p>
        </w:tc>
        <w:tc>
          <w:tcPr>
            <w:tcW w:type="dxa" w:w="4844"/>
          </w:tcPr>
          <w:p>
            <w:r>
              <w:t>[Supportadress]</w:t>
            </w:r>
          </w:p>
        </w:tc>
      </w:tr>
      <w:tr>
        <w:tc>
          <w:tcPr>
            <w:tcW w:type="dxa" w:w="4844"/>
          </w:tcPr>
          <w:p>
            <w:r>
              <w:rPr>
                <w:b/>
              </w:rPr>
              <w:t>Integritetsfrågor/GDPR</w:t>
            </w:r>
          </w:p>
        </w:tc>
        <w:tc>
          <w:tcPr>
            <w:tcW w:type="dxa" w:w="4844"/>
          </w:tcPr>
          <w:p>
            <w:r>
              <w:t>[GDPR-adress]</w:t>
            </w:r>
          </w:p>
        </w:tc>
      </w:tr>
      <w:tr>
        <w:tc>
          <w:tcPr>
            <w:tcW w:type="dxa" w:w="4844"/>
          </w:tcPr>
          <w:p>
            <w:r>
              <w:rPr>
                <w:b/>
              </w:rPr>
              <w:t>Företagssupport</w:t>
            </w:r>
          </w:p>
        </w:tc>
        <w:tc>
          <w:tcPr>
            <w:tcW w:type="dxa" w:w="4844"/>
          </w:tcPr>
          <w:p>
            <w:r>
              <w:t>[Företagssupport]</w:t>
            </w:r>
          </w:p>
        </w:tc>
      </w:tr>
      <w:tr>
        <w:tc>
          <w:tcPr>
            <w:tcW w:type="dxa" w:w="4844"/>
          </w:tcPr>
          <w:p>
            <w:r>
              <w:rPr>
                <w:b/>
              </w:rPr>
              <w:t>DSA-kontaktpunkt</w:t>
            </w:r>
          </w:p>
        </w:tc>
        <w:tc>
          <w:tcPr>
            <w:tcW w:type="dxa" w:w="4844"/>
          </w:tcPr>
          <w:p>
            <w:r>
              <w:t>[DSA-kontaktpunkt]</w:t>
            </w:r>
          </w:p>
        </w:tc>
      </w:tr>
    </w:tbl>
    <w:sectPr w:rsidR="00FC693F" w:rsidRPr="0006063C" w:rsidSect="00034616">
      <w:footerReference w:type="default" r:id="rId9"/>
      <w:pgSz w:w="12240" w:h="15840"/>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TooDoo | 2.0 – Launch Candidate | Konfidentiell lanseringskandidat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Avboknings- och återbetalningspolicy</dc:title>
  <dc:subject>TooDoo Legal Pack Version 2.0 – Launch Candidate</dc:subject>
  <dc:creator>TooDoo</dc:creator>
  <cp:keywords/>
  <dc:description>generated by python-docx</dc:description>
  <cp:lastModifiedBy/>
  <cp:revision>1</cp:revision>
  <dcterms:created xsi:type="dcterms:W3CDTF">2013-12-23T23:15:00Z</dcterms:created>
  <dcterms:modified xsi:type="dcterms:W3CDTF">2013-12-23T23:15:00Z</dcterms:modified>
  <cp:category/>
</cp:coreProperties>
</file>