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Anmälnings- och åtgärdspolicy</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Syfte</w:t>
      </w:r>
    </w:p>
    <w:p>
      <w:r>
        <w:t>Policyn beskriver hur olagligt eller otillåtet innehåll anmäls och hur TooDoo handlägger modereringsbeslut. Den är utformad för att stödja skyldigheter enligt EU:s förordning om digitala tjänster (DSA).</w:t>
      </w:r>
    </w:p>
    <w:p>
      <w:pPr>
        <w:pStyle w:val="Heading1"/>
      </w:pPr>
      <w:r>
        <w:t>2. DSA-kontaktpunkter</w:t>
      </w:r>
    </w:p>
    <w:p>
      <w:r>
        <w:t>Kontaktpunkt för myndigheter och Europeiska kommissionen: [DSA-kontaktpunkt]. Kontaktpunkt för mottagare av tjänsten kan vara samma adress eller [Supportadress]. Kommunikation kan ske på svenska och engelska. Uppgifterna måste fyllas i och publiceras före lansering.</w:t>
      </w:r>
    </w:p>
    <w:p>
      <w:pPr>
        <w:pStyle w:val="Heading1"/>
      </w:pPr>
      <w:r>
        <w:t>3. Vad kan anmälas</w:t>
      </w:r>
    </w:p>
    <w:p>
      <w:pPr>
        <w:pStyle w:val="ListBullet"/>
      </w:pPr>
      <w:r>
        <w:t>olagliga eller farliga Aktiviteter</w:t>
      </w:r>
    </w:p>
    <w:p>
      <w:pPr>
        <w:pStyle w:val="ListBullet"/>
      </w:pPr>
      <w:r>
        <w:t>bedrägeri, vilseledande kampanj eller felaktig företagsidentitet</w:t>
      </w:r>
    </w:p>
    <w:p>
      <w:pPr>
        <w:pStyle w:val="ListBullet"/>
      </w:pPr>
      <w:r>
        <w:t>intrång i upphovsrätt, varumärke eller annan rättighet</w:t>
      </w:r>
    </w:p>
    <w:p>
      <w:pPr>
        <w:pStyle w:val="ListBullet"/>
      </w:pPr>
      <w:r>
        <w:t>hot, hat, trakasserier eller olaglig diskriminering</w:t>
      </w:r>
    </w:p>
    <w:p>
      <w:pPr>
        <w:pStyle w:val="ListBullet"/>
      </w:pPr>
      <w:r>
        <w:t>falska recensioner och manipulerade betyg</w:t>
      </w:r>
    </w:p>
    <w:p>
      <w:pPr>
        <w:pStyle w:val="ListBullet"/>
      </w:pPr>
      <w:r>
        <w:t>otillåten behandling eller publicering av personuppgifter</w:t>
      </w:r>
    </w:p>
    <w:p>
      <w:pPr>
        <w:pStyle w:val="ListBullet"/>
      </w:pPr>
      <w:r>
        <w:t>annat innehåll som bryter mot villkor eller policyer</w:t>
      </w:r>
    </w:p>
    <w:p>
      <w:pPr>
        <w:pStyle w:val="Heading1"/>
      </w:pPr>
      <w:r>
        <w:t>4. Så görs en anmälan</w:t>
      </w:r>
    </w:p>
    <w:p>
      <w:r>
        <w:t>Anmälan görs via [URL/formulär för anmälan] eller [DSA-kontaktpunkt]. Den bör innehålla:</w:t>
      </w:r>
    </w:p>
    <w:p>
      <w:pPr>
        <w:pStyle w:val="ListBullet"/>
      </w:pPr>
      <w:r>
        <w:t>en tillräckligt preciserad förklaring till varför innehållet anses olagligt eller otillåtet</w:t>
      </w:r>
    </w:p>
    <w:p>
      <w:pPr>
        <w:pStyle w:val="ListBullet"/>
      </w:pPr>
      <w:r>
        <w:t>den exakta elektroniska platsen, exempelvis URL, aktivitets-ID eller recensions-ID, och vid behov kompletterande information</w:t>
      </w:r>
    </w:p>
    <w:p>
      <w:pPr>
        <w:pStyle w:val="ListBullet"/>
      </w:pPr>
      <w:r>
        <w:t>anmälarens namn och e-postadress, utom när anmälan rör brott med sexuella övergrepp, exploatering eller motsvarande undantag</w:t>
      </w:r>
    </w:p>
    <w:p>
      <w:pPr>
        <w:pStyle w:val="ListBullet"/>
      </w:pPr>
      <w:r>
        <w:t>en förklaring om att uppgifterna lämnas i god tro och är korrekta</w:t>
      </w:r>
    </w:p>
    <w:p>
      <w:pPr>
        <w:pStyle w:val="Heading1"/>
      </w:pPr>
      <w:r>
        <w:t>5. Bekräftelse och handläggning</w:t>
      </w:r>
    </w:p>
    <w:p>
      <w:r>
        <w:t>TooDoo bekräftar mottagandet elektroniskt utan onödigt dröjsmål när kontaktuppgift har lämnats. Anmälan behandlas skyndsamt, omsorgsfullt, objektivt och utan godtycke. Automatiserade verktyg kan användas som stöd, men relevanta beslut ska ha lämplig mänsklig kontroll.</w:t>
      </w:r>
    </w:p>
    <w:p>
      <w:r>
        <w:t>En tillräckligt precis och välgrundad anmälan kan ge TooDoo faktisk kännedom om det berörda innehållet. TooDoo kan begära komplettering, säkra bevis och tillfälligt begränsa innehåll vid akut risk.</w:t>
      </w:r>
    </w:p>
    <w:p>
      <w:pPr>
        <w:pStyle w:val="Heading1"/>
      </w:pPr>
      <w:r>
        <w:t>6. Möjliga beslut</w:t>
      </w:r>
    </w:p>
    <w:p>
      <w:pPr>
        <w:pStyle w:val="ListBullet"/>
      </w:pPr>
      <w:r>
        <w:t>ingen åtgärd</w:t>
      </w:r>
    </w:p>
    <w:p>
      <w:pPr>
        <w:pStyle w:val="ListBullet"/>
      </w:pPr>
      <w:r>
        <w:t>begäran om rättelse eller komplettering</w:t>
      </w:r>
    </w:p>
    <w:p>
      <w:pPr>
        <w:pStyle w:val="ListBullet"/>
      </w:pPr>
      <w:r>
        <w:t>märkning, ålders- eller geografisk begränsning eller minskad synlighet</w:t>
      </w:r>
    </w:p>
    <w:p>
      <w:pPr>
        <w:pStyle w:val="ListBullet"/>
      </w:pPr>
      <w:r>
        <w:t>avpublicering eller blockering av innehåll</w:t>
      </w:r>
    </w:p>
    <w:p>
      <w:pPr>
        <w:pStyle w:val="ListBullet"/>
      </w:pPr>
      <w:r>
        <w:t>varning, begränsning, tillfällig avstängning eller avslut av konto</w:t>
      </w:r>
    </w:p>
    <w:p>
      <w:pPr>
        <w:pStyle w:val="ListBullet"/>
      </w:pPr>
      <w:r>
        <w:t>rapportering till behörig myndighet när lag kräver eller när konkret risk för allvarligt brott mot liv eller säkerhet föreligger</w:t>
      </w:r>
    </w:p>
    <w:p>
      <w:pPr>
        <w:pStyle w:val="Heading1"/>
      </w:pPr>
      <w:r>
        <w:t>7. Motivering – Statement of Reasons</w:t>
      </w:r>
    </w:p>
    <w:p>
      <w:r>
        <w:t>När TooDoo fattar ett beslut som omfattas av DSA lämnas en tydlig och specifik motivering till berörd mottagare. Motiveringen ska i tillämpliga delar ange beslutet och dess räckvidd, de huvudsakliga fakta och omständigheter som beslutet grundas på, om automatiserade medel har använts, den rättsliga grunden eller avtalsbestämmelsen samt möjligheterna till intern omprövning, utomrättslig tvistlösning och domstolsprövning.</w:t>
      </w:r>
    </w:p>
    <w:p>
      <w:r>
        <w:t>Motivering kan begränsas när detta krävs för brottsutredning, säkerhet, sekretess eller annan laglig grund.</w:t>
      </w:r>
    </w:p>
    <w:p>
      <w:pPr>
        <w:pStyle w:val="Heading1"/>
      </w:pPr>
      <w:r>
        <w:t>8. Internt klagomålssystem</w:t>
      </w:r>
    </w:p>
    <w:p>
      <w:r>
        <w:t>Den berörda parten kan kostnadsfritt begära omprövning elektroniskt inom sex månader från beslutet när DSA:s regler om intern klagomålshantering är tillämpliga. Klagomålet bedöms skyndsamt, icke-diskriminerande och under tillsyn av kvalificerad personal. Ett tidigare beslut ändras när klagomålet visar att innehållet inte var olagligt eller oförenligt eller att åtgärden inte var motiverad.</w:t>
      </w:r>
    </w:p>
    <w:p>
      <w:pPr>
        <w:pStyle w:val="Heading1"/>
      </w:pPr>
      <w:r>
        <w:t>9. Utomrättslig tvistlösning</w:t>
      </w:r>
    </w:p>
    <w:p>
      <w:r>
        <w:t>Mottagare som berörs av ett beslut kan, när artikel 21 DSA är tillämplig, välja ett certifierat utomrättsligt tvistlösningsorgan. TooDoo ska samarbeta i god tro enligt DSA. En aktuell lista över certifierade organ finns hos Europeiska kommissionen. Förfarandet påverkar inte rätten att gå till domstol.</w:t>
      </w:r>
    </w:p>
    <w:p>
      <w:pPr>
        <w:pStyle w:val="Heading1"/>
      </w:pPr>
      <w:r>
        <w:t>10. Myndighetsbeslut och misstanke om brott</w:t>
      </w:r>
    </w:p>
    <w:p>
      <w:r>
        <w:t>TooDoo hanterar bindande förelägganden från behöriga myndigheter enligt lag. Vid kännedom om information som ger anledning att misstänka ett brott som innebär hot mot en persons eller personers liv eller säkerhet kan TooDoo underrätta brottsbekämpande myndighet och lämna tillgänglig relevant information enligt DSA.</w:t>
      </w:r>
    </w:p>
    <w:p>
      <w:pPr>
        <w:pStyle w:val="Heading1"/>
      </w:pPr>
      <w:r>
        <w:t>11. Missbruk av systemet</w:t>
      </w:r>
    </w:p>
    <w:p>
      <w:r>
        <w:t>Efter föregående varning kan TooDoo tillfälligt begränsa hanteringen av anmälningar från personer som ofta lämnar uppenbart ogrundade anmälningar och kan begränsa konton som ofta publicerar uppenbart olagligt innehåll. Bedömningen ska vara individuell, proportionerlig och beakta antal, andel, allvar och avsikt.</w:t>
      </w:r>
    </w:p>
    <w:p>
      <w:pPr>
        <w:pStyle w:val="Heading1"/>
      </w:pPr>
      <w:r>
        <w:t>12. Dokumentation och personuppgifter</w:t>
      </w:r>
    </w:p>
    <w:p>
      <w:r>
        <w:t>Anmälningar, beslut och klagomål dokumenteras i den utsträckning som krävs för handläggning, transparens, säkerhet och rättsliga skyldigheter. Personuppgifter behandlas enligt relevant integritetspolicy.</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Anmälnings- och åtgärdspolicy</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