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Calibri" w:cs="Calibri" w:eastAsia="Calibri" w:hAnsi="Calibri"/>
          <w:b/>
          <w:bCs/>
          <w:color w:val="F2C94C"/>
          <w:spacing w:val="80"/>
          <w:sz w:val="18"/>
          <w:szCs w:val="18"/>
        </w:rPr>
        <w:t xml:space="preserve">PROJECT DISCOVERY</w:t>
      </w:r>
    </w:p>
    <w:p>
      <w:pPr>
        <w:spacing w:after="60" w:before="120"/>
      </w:pPr>
      <w:r>
        <w:rPr>
          <w:rFonts w:ascii="Calibri" w:cs="Calibri" w:eastAsia="Calibri" w:hAnsi="Calibri"/>
          <w:b/>
          <w:bCs/>
          <w:color w:val="0F1A3C"/>
          <w:sz w:val="56"/>
          <w:szCs w:val="56"/>
        </w:rPr>
        <w:t xml:space="preserve">Discovery Questionnaire</w:t>
      </w:r>
    </w:p>
    <w:p>
      <w:pPr>
        <w:spacing w:after="240" w:before="0"/>
      </w:pPr>
      <w:r>
        <w:rPr>
          <w:rFonts w:ascii="Calibri" w:cs="Calibri" w:eastAsia="Calibri" w:hAnsi="Calibri"/>
          <w:i/>
          <w:iCs/>
          <w:color w:val="4F7CAC"/>
          <w:sz w:val="28"/>
          <w:szCs w:val="28"/>
        </w:rPr>
        <w:t xml:space="preserve">Apple Wallet &amp; Google Wallet Integration</w:t>
      </w:r>
    </w:p>
    <w:p>
      <w:pPr>
        <w:pBdr>
          <w:bottom w:val="single" w:color="F2C94C" w:sz="18" w:space="1"/>
        </w:pBdr>
        <w:spacing w:after="24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480"/>
      </w:tblGrid>
      <w:tr>
        <w:tc>
          <w:tcPr>
            <w:tcW w:type="dxa" w:w="1600"/>
            <w:tcBorders>
              <w:top w:val="single" w:color="E4E9F2" w:sz="4"/>
              <w:left w:val="single" w:color="E4E9F2" w:sz="4"/>
              <w:bottom w:val="single" w:color="E4E9F2" w:sz="4"/>
              <w:right w:val="single" w:color="E4E9F2" w:sz="4"/>
            </w:tcBorders>
            <w:shd w:fill="0F1A3C" w:val="clear"/>
            <w:tcMar>
              <w:top w:type="dxa" w:w="80"/>
              <w:left w:type="dxa" w:w="120"/>
              <w:bottom w:type="dxa" w:w="80"/>
              <w:right w:type="dxa" w:w="120"/>
            </w:tcMar>
          </w:tcPr>
          <w:p>
            <w:r>
              <w:rPr>
                <w:rFonts w:ascii="Calibri" w:cs="Calibri" w:eastAsia="Calibri" w:hAnsi="Calibri"/>
                <w:b/>
                <w:bCs/>
                <w:color w:val="F2C94C"/>
                <w:spacing w:val="40"/>
                <w:sz w:val="18"/>
                <w:szCs w:val="18"/>
              </w:rPr>
              <w:t xml:space="preserve">From:</w:t>
            </w:r>
          </w:p>
        </w:tc>
        <w:tc>
          <w:tcPr>
            <w:tcW w:type="dxa" w:w="8480"/>
            <w:tcBorders>
              <w:top w:val="single" w:color="E4E9F2" w:sz="4"/>
              <w:left w:val="single" w:color="E4E9F2" w:sz="4"/>
              <w:bottom w:val="single" w:color="E4E9F2" w:sz="4"/>
              <w:right w:val="single" w:color="E4E9F2" w:sz="4"/>
            </w:tcBorders>
            <w:shd w:fill="F8F9FB" w:val="clear"/>
            <w:tcMar>
              <w:top w:type="dxa" w:w="80"/>
              <w:left w:type="dxa" w:w="120"/>
              <w:bottom w:type="dxa" w:w="80"/>
              <w:right w:type="dxa" w:w="120"/>
            </w:tcMar>
          </w:tcPr>
          <w:p>
            <w:r>
              <w:rPr>
                <w:rFonts w:ascii="Calibri" w:cs="Calibri" w:eastAsia="Calibri" w:hAnsi="Calibri"/>
                <w:color w:val="0F1A3C"/>
                <w:sz w:val="22"/>
                <w:szCs w:val="22"/>
              </w:rPr>
              <w:t xml:space="preserve">Walvero Loyalty</w:t>
            </w:r>
          </w:p>
        </w:tc>
      </w:tr>
      <w:tr>
        <w:tc>
          <w:tcPr>
            <w:tcW w:type="dxa" w:w="1600"/>
            <w:tcBorders>
              <w:top w:val="single" w:color="E4E9F2" w:sz="4"/>
              <w:left w:val="single" w:color="E4E9F2" w:sz="4"/>
              <w:bottom w:val="single" w:color="E4E9F2" w:sz="4"/>
              <w:right w:val="single" w:color="E4E9F2" w:sz="4"/>
            </w:tcBorders>
            <w:shd w:fill="0F1A3C" w:val="clear"/>
            <w:tcMar>
              <w:top w:type="dxa" w:w="80"/>
              <w:left w:type="dxa" w:w="120"/>
              <w:bottom w:type="dxa" w:w="80"/>
              <w:right w:type="dxa" w:w="120"/>
            </w:tcMar>
          </w:tcPr>
          <w:p>
            <w:r>
              <w:rPr>
                <w:rFonts w:ascii="Calibri" w:cs="Calibri" w:eastAsia="Calibri" w:hAnsi="Calibri"/>
                <w:b/>
                <w:bCs/>
                <w:color w:val="F2C94C"/>
                <w:spacing w:val="40"/>
                <w:sz w:val="18"/>
                <w:szCs w:val="18"/>
              </w:rPr>
              <w:t xml:space="preserve">To:</w:t>
            </w:r>
          </w:p>
        </w:tc>
        <w:tc>
          <w:tcPr>
            <w:tcW w:type="dxa" w:w="8480"/>
            <w:tcBorders>
              <w:top w:val="single" w:color="E4E9F2" w:sz="4"/>
              <w:left w:val="single" w:color="E4E9F2" w:sz="4"/>
              <w:bottom w:val="single" w:color="E4E9F2" w:sz="4"/>
              <w:right w:val="single" w:color="E4E9F2" w:sz="4"/>
            </w:tcBorders>
            <w:shd w:fill="F8F9FB" w:val="clear"/>
            <w:tcMar>
              <w:top w:type="dxa" w:w="80"/>
              <w:left w:type="dxa" w:w="120"/>
              <w:bottom w:type="dxa" w:w="80"/>
              <w:right w:type="dxa" w:w="120"/>
            </w:tcMar>
          </w:tcPr>
          <w:p>
            <w:r>
              <w:rPr>
                <w:rFonts w:ascii="Calibri" w:cs="Calibri" w:eastAsia="Calibri" w:hAnsi="Calibri"/>
                <w:color w:val="0F1A3C"/>
                <w:sz w:val="22"/>
                <w:szCs w:val="22"/>
              </w:rPr>
              <w:t xml:space="preserve">Italdizain — technical / business team</w:t>
            </w:r>
          </w:p>
        </w:tc>
      </w:tr>
      <w:tr>
        <w:tc>
          <w:tcPr>
            <w:tcW w:type="dxa" w:w="1600"/>
            <w:tcBorders>
              <w:top w:val="single" w:color="E4E9F2" w:sz="4"/>
              <w:left w:val="single" w:color="E4E9F2" w:sz="4"/>
              <w:bottom w:val="single" w:color="E4E9F2" w:sz="4"/>
              <w:right w:val="single" w:color="E4E9F2" w:sz="4"/>
            </w:tcBorders>
            <w:shd w:fill="0F1A3C" w:val="clear"/>
            <w:tcMar>
              <w:top w:type="dxa" w:w="80"/>
              <w:left w:type="dxa" w:w="120"/>
              <w:bottom w:type="dxa" w:w="80"/>
              <w:right w:type="dxa" w:w="120"/>
            </w:tcMar>
          </w:tcPr>
          <w:p>
            <w:r>
              <w:rPr>
                <w:rFonts w:ascii="Calibri" w:cs="Calibri" w:eastAsia="Calibri" w:hAnsi="Calibri"/>
                <w:b/>
                <w:bCs/>
                <w:color w:val="F2C94C"/>
                <w:spacing w:val="40"/>
                <w:sz w:val="18"/>
                <w:szCs w:val="18"/>
              </w:rPr>
              <w:t xml:space="preserve">Date:</w:t>
            </w:r>
          </w:p>
        </w:tc>
        <w:tc>
          <w:tcPr>
            <w:tcW w:type="dxa" w:w="8480"/>
            <w:tcBorders>
              <w:top w:val="single" w:color="E4E9F2" w:sz="4"/>
              <w:left w:val="single" w:color="E4E9F2" w:sz="4"/>
              <w:bottom w:val="single" w:color="E4E9F2" w:sz="4"/>
              <w:right w:val="single" w:color="E4E9F2" w:sz="4"/>
            </w:tcBorders>
            <w:shd w:fill="F8F9FB" w:val="clear"/>
            <w:tcMar>
              <w:top w:type="dxa" w:w="80"/>
              <w:left w:type="dxa" w:w="120"/>
              <w:bottom w:type="dxa" w:w="80"/>
              <w:right w:type="dxa" w:w="120"/>
            </w:tcMar>
          </w:tcPr>
          <w:p>
            <w:r>
              <w:rPr>
                <w:rFonts w:ascii="Calibri" w:cs="Calibri" w:eastAsia="Calibri" w:hAnsi="Calibri"/>
                <w:color w:val="0F1A3C"/>
                <w:sz w:val="22"/>
                <w:szCs w:val="22"/>
              </w:rPr>
              <w:t xml:space="preserve">May 2026</w:t>
            </w:r>
          </w:p>
        </w:tc>
      </w:tr>
    </w:tbl>
    <w:p>
      <w:pPr>
        <w:spacing w:after="120" w:before="320"/>
      </w:pPr>
      <w:r>
        <w:rPr>
          <w:rFonts w:ascii="Calibri" w:cs="Calibri" w:eastAsia="Calibri" w:hAnsi="Calibri"/>
          <w:color w:val="0F1A3C"/>
          <w:sz w:val="22"/>
          <w:szCs w:val="22"/>
        </w:rPr>
        <w:t xml:space="preserve">Before we finalise the technical scope and the statement of work, we kindly ask you to answer the questions below. Your answers will help us tailor the design, integration and rollout precisely to Italdizain’s needs and prevent costly changes later.</w:t>
      </w:r>
    </w:p>
    <w:p>
      <w:pPr>
        <w:spacing w:after="240" w:before="0"/>
      </w:pPr>
      <w:r>
        <w:rPr>
          <w:rFonts w:ascii="Calibri" w:cs="Calibri" w:eastAsia="Calibri" w:hAnsi="Calibri"/>
          <w:i/>
          <w:iCs/>
          <w:color w:val="5A6478"/>
          <w:sz w:val="20"/>
          <w:szCs w:val="20"/>
        </w:rPr>
        <w:t xml:space="preserve">Please write your answers in the empty rows below each question, or reply to this document in your preferred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01</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SMS / OTP delivery</w:t>
            </w:r>
          </w:p>
        </w:tc>
      </w:tr>
    </w:tbl>
    <w:p>
      <w:pPr>
        <w:spacing w:after="80" w:before="160"/>
        <w:ind w:left="120"/>
      </w:pPr>
      <w:r>
        <w:rPr>
          <w:rFonts w:ascii="Calibri" w:cs="Calibri" w:eastAsia="Calibri" w:hAnsi="Calibri"/>
          <w:color w:val="0F1A3C"/>
          <w:sz w:val="22"/>
          <w:szCs w:val="22"/>
        </w:rPr>
        <w:t xml:space="preserve">Who will be responsible for sending the SMS one-time-password (OTP) messages — Walvero or Italdizain? If Italdizain, please specify the SMS provider and the sender ID (sender name) that should appear on the recipient's phone.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02</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Apple &amp; Google certificates</w:t>
            </w:r>
          </w:p>
        </w:tc>
      </w:tr>
    </w:tbl>
    <w:p>
      <w:pPr>
        <w:spacing w:after="80" w:before="160"/>
        <w:ind w:left="120"/>
      </w:pPr>
      <w:r>
        <w:rPr>
          <w:rFonts w:ascii="Calibri" w:cs="Calibri" w:eastAsia="Calibri" w:hAnsi="Calibri"/>
          <w:color w:val="0F1A3C"/>
          <w:sz w:val="22"/>
          <w:szCs w:val="22"/>
        </w:rPr>
        <w:t xml:space="preserve">Will Italdizain’s technical team prepare the credentials required from your existing Apple Developer and Google Cloud accounts — specifically the Pass Type ID certificate (.p12) for Apple Wallet and the service-account JSON for Google Wallet? If you need our assistance, please let us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03</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Custom reports &amp; analytics</w:t>
            </w:r>
          </w:p>
        </w:tc>
      </w:tr>
    </w:tbl>
    <w:p>
      <w:pPr>
        <w:spacing w:after="80" w:before="160"/>
        <w:ind w:left="120"/>
      </w:pPr>
      <w:r>
        <w:rPr>
          <w:rFonts w:ascii="Calibri" w:cs="Calibri" w:eastAsia="Calibri" w:hAnsi="Calibri"/>
          <w:color w:val="0F1A3C"/>
          <w:sz w:val="22"/>
          <w:szCs w:val="22"/>
        </w:rPr>
        <w:t xml:space="preserve">Are there any specific reports, KPIs or analytical views you would like to see in the dashboard beyond the standard ones (customers, sales, wallet usage, retention)? Examples: sales by branch, cashback redemption rate, average ticket per tier,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04</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Required fields at customer registration</w:t>
            </w:r>
          </w:p>
        </w:tc>
      </w:tr>
    </w:tbl>
    <w:p>
      <w:pPr>
        <w:spacing w:after="80" w:before="160"/>
        <w:ind w:left="120"/>
      </w:pPr>
      <w:r>
        <w:rPr>
          <w:rFonts w:ascii="Calibri" w:cs="Calibri" w:eastAsia="Calibri" w:hAnsi="Calibri"/>
          <w:color w:val="0F1A3C"/>
          <w:sz w:val="22"/>
          <w:szCs w:val="22"/>
        </w:rPr>
        <w:t xml:space="preserve">During customer enrolment in Walvero, besides the mobile phone number, which fields should be mandatory and which optional? Examples: full name, date of birth, gender, email, preferred language, branch of preference. Please specify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05</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Wallet card structure across branches</w:t>
            </w:r>
          </w:p>
        </w:tc>
      </w:tr>
    </w:tbl>
    <w:p>
      <w:pPr>
        <w:spacing w:after="80" w:before="160"/>
        <w:ind w:left="120"/>
      </w:pPr>
      <w:r>
        <w:rPr>
          <w:rFonts w:ascii="Calibri" w:cs="Calibri" w:eastAsia="Calibri" w:hAnsi="Calibri"/>
          <w:color w:val="0F1A3C"/>
          <w:sz w:val="22"/>
          <w:szCs w:val="22"/>
        </w:rPr>
        <w:t xml:space="preserve">Should there be a separate Wallet card per branch (one design per store), or one unified Wallet card shared across all four stores? Please indicate which option fits Italdizain’s brand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06</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Cross-branch bonus usage</w:t>
            </w:r>
          </w:p>
        </w:tc>
      </w:tr>
    </w:tbl>
    <w:p>
      <w:pPr>
        <w:spacing w:after="80" w:before="160"/>
        <w:ind w:left="120"/>
      </w:pPr>
      <w:r>
        <w:rPr>
          <w:rFonts w:ascii="Calibri" w:cs="Calibri" w:eastAsia="Calibri" w:hAnsi="Calibri"/>
          <w:color w:val="0F1A3C"/>
          <w:sz w:val="22"/>
          <w:szCs w:val="22"/>
        </w:rPr>
        <w:t xml:space="preserve">If we go with a single unified Wallet card, can a bonus earned at one branch be spent at any other branch — or should bonuses remain restricted to the branch where they were earned?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07</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Rules for spending bonuses</w:t>
            </w:r>
          </w:p>
        </w:tc>
      </w:tr>
    </w:tbl>
    <w:p>
      <w:pPr>
        <w:spacing w:after="80" w:before="160"/>
        <w:ind w:left="120"/>
      </w:pPr>
      <w:r>
        <w:rPr>
          <w:rFonts w:ascii="Calibri" w:cs="Calibri" w:eastAsia="Calibri" w:hAnsi="Calibri"/>
          <w:color w:val="0F1A3C"/>
          <w:sz w:val="22"/>
          <w:szCs w:val="22"/>
        </w:rPr>
        <w:t xml:space="preserve">Are there any rules or limits when a customer spends their bonus balance? For example: a maximum percentage of the product price that can be paid using bonuses (e.g., 50%), a minimum purchase amount, restricted product categories, or expiry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tcBorders>
              <w:top w:val="none"/>
              <w:left w:val="none"/>
              <w:bottom w:val="none"/>
              <w:right w:val="none"/>
            </w:tcBorders>
            <w:shd w:fill="0F1A3C" w:val="clear"/>
            <w:tcMar>
              <w:top w:type="dxa" w:w="140"/>
              <w:left w:type="dxa" w:w="80"/>
              <w:bottom w:type="dxa" w:w="140"/>
              <w:right w:type="dxa" w:w="80"/>
            </w:tcMar>
            <w:vAlign w:val="center"/>
          </w:tcPr>
          <w:p>
            <w:pPr>
              <w:jc w:val="center"/>
            </w:pPr>
            <w:r>
              <w:rPr>
                <w:rFonts w:ascii="Calibri" w:cs="Calibri" w:eastAsia="Calibri" w:hAnsi="Calibri"/>
                <w:b/>
                <w:bCs/>
                <w:color w:val="F2C94C"/>
                <w:sz w:val="36"/>
                <w:szCs w:val="36"/>
              </w:rPr>
              <w:t xml:space="preserve">08</w:t>
            </w:r>
          </w:p>
        </w:tc>
        <w:tc>
          <w:tcPr>
            <w:tcW w:type="dxa" w:w="9180"/>
            <w:tcBorders>
              <w:top w:val="none"/>
              <w:left w:val="none"/>
              <w:bottom w:val="none"/>
              <w:right w:val="none"/>
            </w:tcBorders>
            <w:shd w:fill="F8F9FB" w:val="clear"/>
            <w:tcMar>
              <w:top w:type="dxa" w:w="140"/>
              <w:left w:type="dxa" w:w="160"/>
              <w:bottom w:type="dxa" w:w="140"/>
              <w:right w:type="dxa" w:w="160"/>
            </w:tcMar>
            <w:vAlign w:val="center"/>
          </w:tcPr>
          <w:p>
            <w:r>
              <w:rPr>
                <w:rFonts w:ascii="Calibri" w:cs="Calibri" w:eastAsia="Calibri" w:hAnsi="Calibri"/>
                <w:b/>
                <w:bCs/>
                <w:color w:val="0F1A3C"/>
                <w:sz w:val="26"/>
                <w:szCs w:val="26"/>
              </w:rPr>
              <w:t xml:space="preserve">Cashback on bonus-paid portions</w:t>
            </w:r>
          </w:p>
        </w:tc>
      </w:tr>
    </w:tbl>
    <w:p>
      <w:pPr>
        <w:spacing w:after="80" w:before="160"/>
        <w:ind w:left="120"/>
      </w:pPr>
      <w:r>
        <w:rPr>
          <w:rFonts w:ascii="Calibri" w:cs="Calibri" w:eastAsia="Calibri" w:hAnsi="Calibri"/>
          <w:color w:val="0F1A3C"/>
          <w:sz w:val="22"/>
          <w:szCs w:val="22"/>
        </w:rPr>
        <w:t xml:space="preserve">When a customer pays for a product partly or fully with their bonus balance, should cashback (the new bonus) still be calculated on that bonus-paid portion — or only on the part paid in cash / 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C94C" w:sz="4"/>
              <w:left w:val="single" w:color="F2C94C" w:sz="4"/>
              <w:bottom w:val="single" w:color="F2C94C" w:sz="4"/>
              <w:right w:val="single" w:color="F2C94C" w:sz="4"/>
            </w:tcBorders>
            <w:shd w:fill="FFFFFF" w:val="clear"/>
            <w:tcMar>
              <w:top w:type="dxa" w:w="160"/>
              <w:left w:type="dxa" w:w="200"/>
              <w:bottom w:type="dxa" w:w="320"/>
              <w:right w:type="dxa" w:w="160"/>
            </w:tcMar>
          </w:tcPr>
          <w:p>
            <w:pPr>
              <w:spacing w:after="80"/>
            </w:pPr>
            <w:r>
              <w:rPr>
                <w:rFonts w:ascii="Calibri" w:cs="Calibri" w:eastAsia="Calibri" w:hAnsi="Calibri"/>
                <w:b/>
                <w:bCs/>
                <w:color w:val="F2C94C"/>
                <w:spacing w:val="40"/>
                <w:sz w:val="18"/>
                <w:szCs w:val="18"/>
              </w:rPr>
              <w:t xml:space="preserve">Answer:</w:t>
            </w:r>
          </w:p>
          <w:p>
            <w:pPr>
              <w:spacing w:after="120"/>
            </w:pPr>
            <w:r>
              <w:t xml:space="preserve"/>
            </w:r>
          </w:p>
          <w:p>
            <w:pPr>
              <w:spacing w:after="120"/>
            </w:pPr>
            <w:r>
              <w:t xml:space="preserve"/>
            </w:r>
          </w:p>
          <w:p>
            <w:pPr>
              <w:spacing w:after="120"/>
            </w:pPr>
            <w:r>
              <w:t xml:space="preserve"/>
            </w:r>
          </w:p>
          <w:p>
            <w:pPr>
              <w:spacing w:after="0"/>
            </w:pPr>
            <w:r>
              <w:t xml:space="preserve"/>
            </w:r>
          </w:p>
        </w:tc>
      </w:tr>
    </w:tbl>
    <w:p>
      <w:pPr>
        <w:spacing w:after="0" w:before="240"/>
      </w:pPr>
      <w:r>
        <w:t xml:space="preserve"/>
      </w:r>
    </w:p>
    <w:p>
      <w:pPr>
        <w:spacing w:after="120" w:before="400"/>
        <w:jc w:val="center"/>
      </w:pPr>
      <w:r>
        <w:rPr>
          <w:rFonts w:ascii="Calibri" w:cs="Calibri" w:eastAsia="Calibri" w:hAnsi="Calibri"/>
          <w:i/>
          <w:iCs/>
          <w:color w:val="5A6478"/>
          <w:sz w:val="22"/>
          <w:szCs w:val="22"/>
        </w:rPr>
        <w:t xml:space="preserve">Thank you for taking the time to answer these questions.</w:t>
      </w:r>
    </w:p>
    <w:p>
      <w:pPr>
        <w:jc w:val="center"/>
      </w:pPr>
      <w:r>
        <w:rPr>
          <w:rFonts w:ascii="Calibri" w:cs="Calibri" w:eastAsia="Calibri" w:hAnsi="Calibri"/>
          <w:b/>
          <w:bCs/>
          <w:color w:val="0F1A3C"/>
          <w:sz w:val="22"/>
          <w:szCs w:val="22"/>
        </w:rPr>
        <w:t xml:space="preserve">Please send your answers to info@walvero.com.</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8"/>
        <w:sz w:val="18"/>
        <w:szCs w:val="18"/>
      </w:rPr>
      <w:t xml:space="preserve">info@walvero.com  •  Walvero Loyalty  •  Page </w:t>
    </w:r>
    <w:r>
      <w:rPr>
        <w:rFonts w:ascii="Calibri" w:cs="Calibri" w:eastAsia="Calibri" w:hAnsi="Calibri"/>
        <w:color w:val="5A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C94C" w:sz="6" w:space="4"/>
      </w:pBdr>
      <w:tabs>
        <w:tab w:val="right" w:pos="10080"/>
      </w:tabs>
    </w:pPr>
    <w:r>
      <w:rPr>
        <w:rFonts w:ascii="Calibri" w:cs="Calibri" w:eastAsia="Calibri" w:hAnsi="Calibri"/>
        <w:b/>
        <w:bCs/>
        <w:color w:val="0F1A3C"/>
        <w:sz w:val="18"/>
        <w:szCs w:val="18"/>
      </w:rPr>
      <w:t xml:space="preserve">Walvero Loyalty → Italdizain</w:t>
    </w:r>
    <w:r>
      <w:rPr>
        <w:rFonts w:ascii="Calibri" w:cs="Calibri" w:eastAsia="Calibri" w:hAnsi="Calibri"/>
        <w:color w:val="5A6478"/>
        <w:sz w:val="18"/>
        <w:szCs w:val="18"/>
      </w:rPr>
      <w:t xml:space="preserve">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Questionnaire — Walvero ↔ Italdizain</dc:title>
  <dc:creator>Walvero Loyalty</dc:creator>
  <cp:lastModifiedBy>Un-named</cp:lastModifiedBy>
  <cp:revision>1</cp:revision>
  <dcterms:created xsi:type="dcterms:W3CDTF">2026-05-14T13:11:14.684Z</dcterms:created>
  <dcterms:modified xsi:type="dcterms:W3CDTF">2026-05-14T13:11:14.684Z</dcterms:modified>
</cp:coreProperties>
</file>

<file path=docProps/custom.xml><?xml version="1.0" encoding="utf-8"?>
<Properties xmlns="http://schemas.openxmlformats.org/officeDocument/2006/custom-properties" xmlns:vt="http://schemas.openxmlformats.org/officeDocument/2006/docPropsVTypes"/>
</file>